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38A2" w14:textId="5108112B" w:rsidR="007378CF" w:rsidRDefault="007378CF" w:rsidP="00FD79B7">
      <w:pPr>
        <w:jc w:val="center"/>
        <w:rPr>
          <w:rFonts w:ascii="Arial" w:hAnsi="Arial" w:cs="Arial"/>
          <w:b/>
          <w:bCs/>
          <w:sz w:val="28"/>
          <w:szCs w:val="28"/>
        </w:rPr>
      </w:pPr>
    </w:p>
    <w:p w14:paraId="2DB6C51B" w14:textId="308902EC" w:rsidR="007378CF" w:rsidRDefault="007378CF" w:rsidP="00FD79B7">
      <w:pPr>
        <w:jc w:val="center"/>
        <w:rPr>
          <w:rFonts w:ascii="Arial" w:hAnsi="Arial" w:cs="Arial"/>
          <w:b/>
          <w:bCs/>
          <w:sz w:val="28"/>
          <w:szCs w:val="28"/>
        </w:rPr>
      </w:pPr>
    </w:p>
    <w:p w14:paraId="7F1F8AAE" w14:textId="3D87807A" w:rsidR="007378CF" w:rsidRDefault="007378CF" w:rsidP="00FD79B7">
      <w:pPr>
        <w:jc w:val="center"/>
        <w:rPr>
          <w:rFonts w:ascii="Arial" w:hAnsi="Arial" w:cs="Arial"/>
          <w:b/>
          <w:bCs/>
          <w:sz w:val="28"/>
          <w:szCs w:val="28"/>
        </w:rPr>
      </w:pPr>
      <w:r>
        <w:rPr>
          <w:noProof/>
          <w:lang w:eastAsia="en-GB"/>
        </w:rPr>
        <w:drawing>
          <wp:anchor distT="0" distB="0" distL="114300" distR="114300" simplePos="0" relativeHeight="251659264" behindDoc="0" locked="0" layoutInCell="1" allowOverlap="1" wp14:anchorId="616B9AA4" wp14:editId="1D26ECCD">
            <wp:simplePos x="0" y="0"/>
            <wp:positionH relativeFrom="column">
              <wp:posOffset>2946400</wp:posOffset>
            </wp:positionH>
            <wp:positionV relativeFrom="paragraph">
              <wp:posOffset>210820</wp:posOffset>
            </wp:positionV>
            <wp:extent cx="3204210" cy="469265"/>
            <wp:effectExtent l="0" t="0" r="0" b="6985"/>
            <wp:wrapNone/>
            <wp:docPr id="4" name="Picture 4" descr="PBNI 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NI logo 2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4210" cy="469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91E090" w14:textId="77777777" w:rsidR="007378CF" w:rsidRDefault="007378CF" w:rsidP="00FD79B7">
      <w:pPr>
        <w:jc w:val="center"/>
        <w:rPr>
          <w:rFonts w:ascii="Arial" w:hAnsi="Arial" w:cs="Arial"/>
          <w:b/>
          <w:bCs/>
          <w:sz w:val="28"/>
          <w:szCs w:val="28"/>
        </w:rPr>
      </w:pPr>
    </w:p>
    <w:p w14:paraId="14BA80E1" w14:textId="77777777" w:rsidR="007378CF" w:rsidRDefault="007378CF" w:rsidP="00FD79B7">
      <w:pPr>
        <w:jc w:val="center"/>
        <w:rPr>
          <w:rFonts w:ascii="Arial" w:hAnsi="Arial" w:cs="Arial"/>
          <w:b/>
          <w:bCs/>
          <w:sz w:val="28"/>
          <w:szCs w:val="28"/>
        </w:rPr>
      </w:pPr>
    </w:p>
    <w:p w14:paraId="6E9981D2" w14:textId="77777777" w:rsidR="007378CF" w:rsidRDefault="007378CF" w:rsidP="00FD79B7">
      <w:pPr>
        <w:jc w:val="center"/>
        <w:rPr>
          <w:rFonts w:ascii="Arial" w:hAnsi="Arial" w:cs="Arial"/>
          <w:b/>
          <w:bCs/>
          <w:sz w:val="28"/>
          <w:szCs w:val="28"/>
        </w:rPr>
      </w:pPr>
    </w:p>
    <w:p w14:paraId="08AF5BDD" w14:textId="77777777" w:rsidR="007378CF" w:rsidRDefault="007378CF" w:rsidP="00FD79B7">
      <w:pPr>
        <w:jc w:val="center"/>
        <w:rPr>
          <w:rFonts w:ascii="Arial" w:hAnsi="Arial" w:cs="Arial"/>
          <w:b/>
          <w:bCs/>
          <w:sz w:val="28"/>
          <w:szCs w:val="28"/>
        </w:rPr>
      </w:pPr>
    </w:p>
    <w:p w14:paraId="1688662B" w14:textId="77777777" w:rsidR="007378CF" w:rsidRDefault="007378CF" w:rsidP="00FD79B7">
      <w:pPr>
        <w:jc w:val="center"/>
        <w:rPr>
          <w:rFonts w:ascii="Arial" w:hAnsi="Arial" w:cs="Arial"/>
          <w:b/>
          <w:bCs/>
          <w:sz w:val="28"/>
          <w:szCs w:val="28"/>
        </w:rPr>
      </w:pPr>
    </w:p>
    <w:p w14:paraId="46D4F8A9" w14:textId="77777777" w:rsidR="007378CF" w:rsidRDefault="007378CF" w:rsidP="00FD79B7">
      <w:pPr>
        <w:jc w:val="center"/>
        <w:rPr>
          <w:rFonts w:ascii="Arial" w:hAnsi="Arial" w:cs="Arial"/>
          <w:b/>
          <w:bCs/>
          <w:sz w:val="28"/>
          <w:szCs w:val="28"/>
        </w:rPr>
      </w:pPr>
    </w:p>
    <w:p w14:paraId="017291AC" w14:textId="77777777" w:rsidR="007378CF" w:rsidRPr="007378CF" w:rsidRDefault="007378CF" w:rsidP="00FD79B7">
      <w:pPr>
        <w:jc w:val="center"/>
        <w:rPr>
          <w:rFonts w:ascii="Arial" w:hAnsi="Arial" w:cs="Arial"/>
          <w:b/>
          <w:bCs/>
          <w:sz w:val="56"/>
          <w:szCs w:val="56"/>
        </w:rPr>
      </w:pPr>
    </w:p>
    <w:p w14:paraId="1E7571E2" w14:textId="5860CD8D" w:rsidR="00FD79B7" w:rsidRDefault="00FD79B7" w:rsidP="00FD79B7">
      <w:pPr>
        <w:jc w:val="center"/>
        <w:rPr>
          <w:rFonts w:ascii="Arial" w:hAnsi="Arial" w:cs="Arial"/>
          <w:b/>
          <w:bCs/>
          <w:sz w:val="56"/>
          <w:szCs w:val="56"/>
        </w:rPr>
      </w:pPr>
      <w:r w:rsidRPr="007378CF">
        <w:rPr>
          <w:rFonts w:ascii="Arial" w:hAnsi="Arial" w:cs="Arial"/>
          <w:b/>
          <w:bCs/>
          <w:sz w:val="56"/>
          <w:szCs w:val="56"/>
        </w:rPr>
        <w:t>Audit and Risk Assurance Committee (ARAC)</w:t>
      </w:r>
    </w:p>
    <w:p w14:paraId="7BECC11E" w14:textId="77777777" w:rsidR="007378CF" w:rsidRPr="007378CF" w:rsidRDefault="007378CF" w:rsidP="00FD79B7">
      <w:pPr>
        <w:jc w:val="center"/>
        <w:rPr>
          <w:rFonts w:ascii="Arial" w:hAnsi="Arial" w:cs="Arial"/>
          <w:b/>
          <w:bCs/>
          <w:sz w:val="56"/>
          <w:szCs w:val="56"/>
        </w:rPr>
      </w:pPr>
    </w:p>
    <w:p w14:paraId="5B815476" w14:textId="77777777" w:rsidR="007378CF" w:rsidRDefault="00FD79B7" w:rsidP="00FD79B7">
      <w:pPr>
        <w:jc w:val="center"/>
        <w:rPr>
          <w:rFonts w:ascii="Arial" w:hAnsi="Arial" w:cs="Arial"/>
          <w:b/>
          <w:bCs/>
          <w:sz w:val="56"/>
          <w:szCs w:val="56"/>
        </w:rPr>
      </w:pPr>
      <w:r w:rsidRPr="007378CF">
        <w:rPr>
          <w:rFonts w:ascii="Arial" w:hAnsi="Arial" w:cs="Arial"/>
          <w:b/>
          <w:bCs/>
          <w:sz w:val="56"/>
          <w:szCs w:val="56"/>
        </w:rPr>
        <w:t xml:space="preserve">Annual Report to the Board </w:t>
      </w:r>
    </w:p>
    <w:p w14:paraId="1A9EB2F6" w14:textId="0B920BA9" w:rsidR="00FD79B7" w:rsidRDefault="00FD79B7" w:rsidP="00FD79B7">
      <w:pPr>
        <w:jc w:val="center"/>
        <w:rPr>
          <w:rFonts w:ascii="Arial" w:hAnsi="Arial" w:cs="Arial"/>
          <w:b/>
          <w:bCs/>
          <w:sz w:val="28"/>
          <w:szCs w:val="28"/>
        </w:rPr>
      </w:pPr>
      <w:r w:rsidRPr="007378CF">
        <w:rPr>
          <w:rFonts w:ascii="Arial" w:hAnsi="Arial" w:cs="Arial"/>
          <w:b/>
          <w:bCs/>
          <w:sz w:val="56"/>
          <w:szCs w:val="56"/>
        </w:rPr>
        <w:t>2025–2</w:t>
      </w:r>
      <w:r w:rsidR="007378CF">
        <w:rPr>
          <w:rFonts w:ascii="Arial" w:hAnsi="Arial" w:cs="Arial"/>
          <w:b/>
          <w:bCs/>
          <w:sz w:val="56"/>
          <w:szCs w:val="56"/>
        </w:rPr>
        <w:t>6</w:t>
      </w:r>
    </w:p>
    <w:p w14:paraId="0258D9FC" w14:textId="77777777" w:rsidR="000506C9" w:rsidRDefault="000506C9">
      <w:pPr>
        <w:rPr>
          <w:rFonts w:ascii="Arial" w:hAnsi="Arial" w:cs="Arial"/>
          <w:b/>
          <w:bCs/>
          <w:sz w:val="28"/>
          <w:szCs w:val="28"/>
        </w:rPr>
      </w:pPr>
    </w:p>
    <w:p w14:paraId="50521BDF" w14:textId="77777777" w:rsidR="000506C9" w:rsidRDefault="000506C9">
      <w:pPr>
        <w:rPr>
          <w:rFonts w:ascii="Arial" w:hAnsi="Arial" w:cs="Arial"/>
          <w:b/>
          <w:bCs/>
          <w:sz w:val="28"/>
          <w:szCs w:val="28"/>
        </w:rPr>
      </w:pPr>
    </w:p>
    <w:p w14:paraId="2DE77372" w14:textId="77777777" w:rsidR="000506C9" w:rsidRDefault="000506C9">
      <w:pPr>
        <w:rPr>
          <w:rFonts w:ascii="Arial" w:hAnsi="Arial" w:cs="Arial"/>
          <w:b/>
          <w:bCs/>
          <w:sz w:val="28"/>
          <w:szCs w:val="28"/>
        </w:rPr>
      </w:pPr>
    </w:p>
    <w:p w14:paraId="1A50987C" w14:textId="77777777" w:rsidR="000506C9" w:rsidRDefault="000506C9">
      <w:pPr>
        <w:rPr>
          <w:rFonts w:ascii="Arial" w:hAnsi="Arial" w:cs="Arial"/>
          <w:b/>
          <w:bCs/>
          <w:sz w:val="28"/>
          <w:szCs w:val="28"/>
        </w:rPr>
      </w:pPr>
    </w:p>
    <w:p w14:paraId="2AE9EF26" w14:textId="77777777" w:rsidR="000506C9" w:rsidRDefault="000506C9">
      <w:pPr>
        <w:rPr>
          <w:rFonts w:ascii="Arial" w:hAnsi="Arial" w:cs="Arial"/>
          <w:b/>
          <w:bCs/>
          <w:sz w:val="28"/>
          <w:szCs w:val="28"/>
        </w:rPr>
      </w:pPr>
    </w:p>
    <w:p w14:paraId="6593206D" w14:textId="77777777" w:rsidR="000506C9" w:rsidRDefault="000506C9">
      <w:pPr>
        <w:rPr>
          <w:rFonts w:ascii="Arial" w:hAnsi="Arial" w:cs="Arial"/>
          <w:b/>
          <w:bCs/>
          <w:sz w:val="28"/>
          <w:szCs w:val="28"/>
        </w:rPr>
      </w:pPr>
    </w:p>
    <w:p w14:paraId="5EB6F358" w14:textId="77777777" w:rsidR="000506C9" w:rsidRDefault="000506C9" w:rsidP="000506C9">
      <w:pPr>
        <w:ind w:left="7200"/>
        <w:rPr>
          <w:rFonts w:ascii="Arial" w:hAnsi="Arial" w:cs="Arial"/>
          <w:b/>
          <w:bCs/>
          <w:sz w:val="28"/>
          <w:szCs w:val="28"/>
        </w:rPr>
      </w:pPr>
    </w:p>
    <w:p w14:paraId="12106CAD" w14:textId="77777777" w:rsidR="000506C9" w:rsidRDefault="000506C9" w:rsidP="000506C9">
      <w:pPr>
        <w:ind w:left="7200"/>
        <w:rPr>
          <w:rFonts w:ascii="Arial" w:hAnsi="Arial" w:cs="Arial"/>
          <w:b/>
          <w:bCs/>
          <w:sz w:val="28"/>
          <w:szCs w:val="28"/>
        </w:rPr>
      </w:pPr>
    </w:p>
    <w:p w14:paraId="55444243" w14:textId="09C6F1B2" w:rsidR="007378CF" w:rsidRDefault="00425AFA" w:rsidP="000506C9">
      <w:pPr>
        <w:ind w:left="7200"/>
        <w:rPr>
          <w:rFonts w:ascii="Arial" w:hAnsi="Arial" w:cs="Arial"/>
          <w:b/>
          <w:bCs/>
          <w:sz w:val="28"/>
          <w:szCs w:val="28"/>
        </w:rPr>
      </w:pPr>
      <w:r>
        <w:rPr>
          <w:rFonts w:ascii="Arial" w:hAnsi="Arial" w:cs="Arial"/>
          <w:b/>
          <w:bCs/>
          <w:sz w:val="28"/>
          <w:szCs w:val="28"/>
        </w:rPr>
        <w:t>Ju</w:t>
      </w:r>
      <w:r w:rsidR="00926C8F">
        <w:rPr>
          <w:rFonts w:ascii="Arial" w:hAnsi="Arial" w:cs="Arial"/>
          <w:b/>
          <w:bCs/>
          <w:sz w:val="28"/>
          <w:szCs w:val="28"/>
        </w:rPr>
        <w:t>ne</w:t>
      </w:r>
      <w:r w:rsidR="000506C9">
        <w:rPr>
          <w:rFonts w:ascii="Arial" w:hAnsi="Arial" w:cs="Arial"/>
          <w:b/>
          <w:bCs/>
          <w:sz w:val="28"/>
          <w:szCs w:val="28"/>
        </w:rPr>
        <w:t xml:space="preserve"> 2026</w:t>
      </w:r>
      <w:r w:rsidR="007378CF">
        <w:rPr>
          <w:rFonts w:ascii="Arial" w:hAnsi="Arial" w:cs="Arial"/>
          <w:b/>
          <w:bCs/>
          <w:sz w:val="28"/>
          <w:szCs w:val="28"/>
        </w:rPr>
        <w:br w:type="page"/>
      </w:r>
    </w:p>
    <w:p w14:paraId="47EA3F75" w14:textId="77777777" w:rsidR="00FD79B7" w:rsidRPr="006D0845" w:rsidRDefault="00FD79B7" w:rsidP="00FD79B7">
      <w:pPr>
        <w:jc w:val="center"/>
        <w:rPr>
          <w:rFonts w:ascii="Arial" w:hAnsi="Arial" w:cs="Arial"/>
          <w:b/>
          <w:bCs/>
          <w:sz w:val="28"/>
          <w:szCs w:val="28"/>
        </w:rPr>
      </w:pPr>
    </w:p>
    <w:p w14:paraId="36AED557"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1. Introduction</w:t>
      </w:r>
    </w:p>
    <w:p w14:paraId="6C3B2BA4" w14:textId="77777777" w:rsidR="00FD79B7" w:rsidRPr="000B71B4" w:rsidRDefault="00FD79B7" w:rsidP="00FD79B7">
      <w:pPr>
        <w:spacing w:line="360" w:lineRule="auto"/>
        <w:jc w:val="both"/>
        <w:rPr>
          <w:rFonts w:ascii="Arial" w:hAnsi="Arial" w:cs="Arial"/>
          <w:sz w:val="24"/>
          <w:szCs w:val="24"/>
        </w:rPr>
      </w:pPr>
      <w:r>
        <w:rPr>
          <w:rFonts w:ascii="Arial" w:hAnsi="Arial" w:cs="Arial"/>
          <w:sz w:val="24"/>
          <w:szCs w:val="24"/>
        </w:rPr>
        <w:t>The Audit and Risk Assurance Committee (hereafter referred to as the Committee or ARAC) Terms of Reference state that t</w:t>
      </w:r>
      <w:r w:rsidRPr="000B71B4">
        <w:rPr>
          <w:rFonts w:ascii="Arial" w:hAnsi="Arial" w:cs="Arial"/>
          <w:sz w:val="24"/>
          <w:szCs w:val="24"/>
        </w:rPr>
        <w:t>he Committee will provide the Board with an Annual Report, timed to support finalisation of the Accounts and the Governance Statement, summarising its conclusions fr</w:t>
      </w:r>
      <w:r>
        <w:rPr>
          <w:rFonts w:ascii="Arial" w:hAnsi="Arial" w:cs="Arial"/>
          <w:sz w:val="24"/>
          <w:szCs w:val="24"/>
        </w:rPr>
        <w:t>o</w:t>
      </w:r>
      <w:r w:rsidRPr="000B71B4">
        <w:rPr>
          <w:rFonts w:ascii="Arial" w:hAnsi="Arial" w:cs="Arial"/>
          <w:sz w:val="24"/>
          <w:szCs w:val="24"/>
        </w:rPr>
        <w:t>m the work it has done during the year.</w:t>
      </w:r>
    </w:p>
    <w:p w14:paraId="350625E5" w14:textId="77777777" w:rsidR="00FD79B7" w:rsidRPr="006D0845" w:rsidRDefault="00FD79B7" w:rsidP="00FD79B7">
      <w:pPr>
        <w:spacing w:line="360" w:lineRule="auto"/>
        <w:jc w:val="both"/>
        <w:rPr>
          <w:rFonts w:ascii="Arial" w:hAnsi="Arial" w:cs="Arial"/>
          <w:sz w:val="24"/>
          <w:szCs w:val="24"/>
        </w:rPr>
      </w:pPr>
      <w:r w:rsidRPr="006D0845">
        <w:rPr>
          <w:rFonts w:ascii="Arial" w:hAnsi="Arial" w:cs="Arial"/>
          <w:sz w:val="24"/>
          <w:szCs w:val="24"/>
        </w:rPr>
        <w:t>This report summarises the work of the ARAC during 2025–26. The Committee has provided independent assurance to the Board and Accounting Officer on</w:t>
      </w:r>
      <w:r>
        <w:rPr>
          <w:rFonts w:ascii="Arial" w:hAnsi="Arial" w:cs="Arial"/>
          <w:sz w:val="24"/>
          <w:szCs w:val="24"/>
        </w:rPr>
        <w:t xml:space="preserve"> </w:t>
      </w:r>
      <w:r w:rsidRPr="006D0845">
        <w:rPr>
          <w:rFonts w:ascii="Arial" w:hAnsi="Arial" w:cs="Arial"/>
          <w:sz w:val="24"/>
          <w:szCs w:val="24"/>
        </w:rPr>
        <w:t>governance, risk management, and internal control across PBNI.</w:t>
      </w:r>
    </w:p>
    <w:p w14:paraId="47E88AA6" w14:textId="77777777" w:rsidR="00FD79B7" w:rsidRDefault="00FD79B7" w:rsidP="00FD79B7">
      <w:pPr>
        <w:spacing w:line="360" w:lineRule="auto"/>
        <w:rPr>
          <w:rFonts w:ascii="Arial" w:hAnsi="Arial" w:cs="Arial"/>
          <w:sz w:val="24"/>
          <w:szCs w:val="24"/>
        </w:rPr>
      </w:pPr>
      <w:r w:rsidRPr="006D0845">
        <w:rPr>
          <w:rFonts w:ascii="Arial" w:hAnsi="Arial" w:cs="Arial"/>
          <w:sz w:val="24"/>
          <w:szCs w:val="24"/>
        </w:rPr>
        <w:t xml:space="preserve">The Committee met </w:t>
      </w:r>
      <w:r>
        <w:rPr>
          <w:rFonts w:ascii="Arial" w:hAnsi="Arial" w:cs="Arial"/>
          <w:sz w:val="24"/>
          <w:szCs w:val="24"/>
        </w:rPr>
        <w:t>five times during</w:t>
      </w:r>
      <w:r w:rsidRPr="006D0845">
        <w:rPr>
          <w:rFonts w:ascii="Arial" w:hAnsi="Arial" w:cs="Arial"/>
          <w:sz w:val="24"/>
          <w:szCs w:val="24"/>
        </w:rPr>
        <w:t xml:space="preserve"> the year and discharged its responsibilities in line with its Terms of Reference</w:t>
      </w:r>
      <w:r>
        <w:rPr>
          <w:rFonts w:ascii="Arial" w:hAnsi="Arial" w:cs="Arial"/>
          <w:sz w:val="24"/>
          <w:szCs w:val="24"/>
        </w:rPr>
        <w:t>. Meetings were held on:</w:t>
      </w:r>
    </w:p>
    <w:p w14:paraId="3F1BCE95" w14:textId="77777777" w:rsidR="00FD79B7" w:rsidRDefault="00FD79B7" w:rsidP="00FD79B7">
      <w:pPr>
        <w:pStyle w:val="ListParagraph"/>
        <w:numPr>
          <w:ilvl w:val="0"/>
          <w:numId w:val="12"/>
        </w:numPr>
        <w:spacing w:line="360" w:lineRule="auto"/>
        <w:rPr>
          <w:rFonts w:ascii="Arial" w:hAnsi="Arial" w:cs="Arial"/>
          <w:sz w:val="24"/>
          <w:szCs w:val="24"/>
        </w:rPr>
      </w:pPr>
      <w:r>
        <w:rPr>
          <w:rFonts w:ascii="Arial" w:hAnsi="Arial" w:cs="Arial"/>
          <w:sz w:val="24"/>
          <w:szCs w:val="24"/>
        </w:rPr>
        <w:t>30 April 2025</w:t>
      </w:r>
    </w:p>
    <w:p w14:paraId="28D10086" w14:textId="77777777" w:rsidR="00FD79B7" w:rsidRDefault="00FD79B7" w:rsidP="00FD79B7">
      <w:pPr>
        <w:pStyle w:val="ListParagraph"/>
        <w:numPr>
          <w:ilvl w:val="0"/>
          <w:numId w:val="12"/>
        </w:numPr>
        <w:spacing w:line="360" w:lineRule="auto"/>
        <w:rPr>
          <w:rFonts w:ascii="Arial" w:hAnsi="Arial" w:cs="Arial"/>
          <w:sz w:val="24"/>
          <w:szCs w:val="24"/>
        </w:rPr>
      </w:pPr>
      <w:r>
        <w:rPr>
          <w:rFonts w:ascii="Arial" w:hAnsi="Arial" w:cs="Arial"/>
          <w:sz w:val="24"/>
          <w:szCs w:val="24"/>
        </w:rPr>
        <w:t>12 June 2025</w:t>
      </w:r>
    </w:p>
    <w:p w14:paraId="750DD8B6" w14:textId="77777777" w:rsidR="00FD79B7" w:rsidRDefault="00FD79B7" w:rsidP="00FD79B7">
      <w:pPr>
        <w:pStyle w:val="ListParagraph"/>
        <w:numPr>
          <w:ilvl w:val="0"/>
          <w:numId w:val="12"/>
        </w:numPr>
        <w:spacing w:line="360" w:lineRule="auto"/>
        <w:rPr>
          <w:rFonts w:ascii="Arial" w:hAnsi="Arial" w:cs="Arial"/>
          <w:sz w:val="24"/>
          <w:szCs w:val="24"/>
        </w:rPr>
      </w:pPr>
      <w:r>
        <w:rPr>
          <w:rFonts w:ascii="Arial" w:hAnsi="Arial" w:cs="Arial"/>
          <w:sz w:val="24"/>
          <w:szCs w:val="24"/>
        </w:rPr>
        <w:t>4 September 2025</w:t>
      </w:r>
    </w:p>
    <w:p w14:paraId="2F3FBBA0" w14:textId="77777777" w:rsidR="00FD79B7" w:rsidRDefault="00FD79B7" w:rsidP="00FD79B7">
      <w:pPr>
        <w:pStyle w:val="ListParagraph"/>
        <w:numPr>
          <w:ilvl w:val="0"/>
          <w:numId w:val="12"/>
        </w:numPr>
        <w:spacing w:line="360" w:lineRule="auto"/>
        <w:rPr>
          <w:rFonts w:ascii="Arial" w:hAnsi="Arial" w:cs="Arial"/>
          <w:sz w:val="24"/>
          <w:szCs w:val="24"/>
        </w:rPr>
      </w:pPr>
      <w:r>
        <w:rPr>
          <w:rFonts w:ascii="Arial" w:hAnsi="Arial" w:cs="Arial"/>
          <w:sz w:val="24"/>
          <w:szCs w:val="24"/>
        </w:rPr>
        <w:t>6 November 2025</w:t>
      </w:r>
    </w:p>
    <w:p w14:paraId="3B0DA631" w14:textId="77777777" w:rsidR="00FD79B7" w:rsidRPr="0046715F" w:rsidRDefault="00FD79B7" w:rsidP="00FD79B7">
      <w:pPr>
        <w:pStyle w:val="ListParagraph"/>
        <w:numPr>
          <w:ilvl w:val="0"/>
          <w:numId w:val="12"/>
        </w:numPr>
        <w:spacing w:line="360" w:lineRule="auto"/>
        <w:rPr>
          <w:rFonts w:ascii="Arial" w:hAnsi="Arial" w:cs="Arial"/>
          <w:sz w:val="24"/>
          <w:szCs w:val="24"/>
        </w:rPr>
      </w:pPr>
      <w:r>
        <w:rPr>
          <w:rFonts w:ascii="Arial" w:hAnsi="Arial" w:cs="Arial"/>
          <w:sz w:val="24"/>
          <w:szCs w:val="24"/>
        </w:rPr>
        <w:t>5 February 2026</w:t>
      </w:r>
      <w:r>
        <w:rPr>
          <w:rFonts w:ascii="Arial" w:hAnsi="Arial" w:cs="Arial"/>
          <w:sz w:val="24"/>
          <w:szCs w:val="24"/>
        </w:rPr>
        <w:br/>
      </w:r>
    </w:p>
    <w:p w14:paraId="15AD8111" w14:textId="77777777" w:rsidR="00FD79B7" w:rsidRDefault="00FD79B7" w:rsidP="00FD79B7">
      <w:pPr>
        <w:spacing w:line="360" w:lineRule="auto"/>
        <w:rPr>
          <w:rFonts w:ascii="Arial" w:hAnsi="Arial" w:cs="Arial"/>
          <w:sz w:val="24"/>
          <w:szCs w:val="24"/>
        </w:rPr>
      </w:pPr>
      <w:r>
        <w:rPr>
          <w:rFonts w:ascii="Arial" w:hAnsi="Arial" w:cs="Arial"/>
          <w:sz w:val="24"/>
          <w:szCs w:val="24"/>
        </w:rPr>
        <w:t>During 2025-26, the following were Members of the Committee:</w:t>
      </w:r>
    </w:p>
    <w:p w14:paraId="3C3D25CB" w14:textId="77777777" w:rsidR="00FD79B7" w:rsidRDefault="00FD79B7" w:rsidP="00FD79B7">
      <w:pPr>
        <w:spacing w:line="360" w:lineRule="auto"/>
        <w:rPr>
          <w:rFonts w:ascii="Arial" w:hAnsi="Arial" w:cs="Arial"/>
          <w:sz w:val="24"/>
          <w:szCs w:val="24"/>
        </w:rPr>
      </w:pPr>
      <w:r>
        <w:rPr>
          <w:rFonts w:ascii="Arial" w:hAnsi="Arial" w:cs="Arial"/>
          <w:sz w:val="24"/>
          <w:szCs w:val="24"/>
        </w:rPr>
        <w:t>Brian Ingram OBE (Chair)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0DFB491" w14:textId="77777777" w:rsidR="00FD79B7" w:rsidRDefault="00FD79B7" w:rsidP="00FD79B7">
      <w:pPr>
        <w:spacing w:line="360" w:lineRule="auto"/>
        <w:rPr>
          <w:rFonts w:ascii="Arial" w:hAnsi="Arial" w:cs="Arial"/>
          <w:sz w:val="24"/>
          <w:szCs w:val="24"/>
        </w:rPr>
      </w:pPr>
      <w:r>
        <w:rPr>
          <w:rFonts w:ascii="Arial" w:hAnsi="Arial" w:cs="Arial"/>
          <w:sz w:val="24"/>
          <w:szCs w:val="24"/>
        </w:rPr>
        <w:t>Eileen Patterson</w:t>
      </w:r>
    </w:p>
    <w:p w14:paraId="711ECDA7" w14:textId="77777777" w:rsidR="00FD79B7" w:rsidRDefault="00FD79B7" w:rsidP="00FD79B7">
      <w:pPr>
        <w:spacing w:line="360" w:lineRule="auto"/>
        <w:rPr>
          <w:rFonts w:ascii="Arial" w:hAnsi="Arial" w:cs="Arial"/>
          <w:sz w:val="24"/>
          <w:szCs w:val="24"/>
        </w:rPr>
      </w:pPr>
      <w:r>
        <w:rPr>
          <w:rFonts w:ascii="Arial" w:hAnsi="Arial" w:cs="Arial"/>
          <w:sz w:val="24"/>
          <w:szCs w:val="24"/>
        </w:rPr>
        <w:t>Maureen Brunt</w:t>
      </w:r>
    </w:p>
    <w:p w14:paraId="45C47B99" w14:textId="77777777" w:rsidR="00FD79B7" w:rsidRDefault="00FD79B7" w:rsidP="00FD79B7">
      <w:pPr>
        <w:spacing w:line="360" w:lineRule="auto"/>
        <w:rPr>
          <w:rFonts w:ascii="Arial" w:hAnsi="Arial" w:cs="Arial"/>
          <w:sz w:val="24"/>
          <w:szCs w:val="24"/>
        </w:rPr>
      </w:pPr>
      <w:r>
        <w:rPr>
          <w:rFonts w:ascii="Arial" w:hAnsi="Arial" w:cs="Arial"/>
          <w:sz w:val="24"/>
          <w:szCs w:val="24"/>
        </w:rPr>
        <w:t>Dave Bowden</w:t>
      </w:r>
    </w:p>
    <w:p w14:paraId="1DC68735" w14:textId="77777777" w:rsidR="00FD79B7" w:rsidRDefault="00FD79B7" w:rsidP="00FD79B7">
      <w:pPr>
        <w:spacing w:line="360" w:lineRule="auto"/>
        <w:rPr>
          <w:rFonts w:ascii="Arial" w:hAnsi="Arial" w:cs="Arial"/>
          <w:sz w:val="24"/>
          <w:szCs w:val="24"/>
        </w:rPr>
      </w:pPr>
      <w:r>
        <w:rPr>
          <w:rFonts w:ascii="Arial" w:hAnsi="Arial" w:cs="Arial"/>
          <w:sz w:val="24"/>
          <w:szCs w:val="24"/>
        </w:rPr>
        <w:t>Chris Dorrian (Independent Co-opted Member)</w:t>
      </w:r>
    </w:p>
    <w:p w14:paraId="643DC1EF" w14:textId="77777777" w:rsidR="00FD79B7" w:rsidRPr="006D0845" w:rsidRDefault="00FD79B7" w:rsidP="00FD79B7">
      <w:pPr>
        <w:spacing w:line="360" w:lineRule="auto"/>
        <w:rPr>
          <w:rFonts w:ascii="Arial" w:hAnsi="Arial" w:cs="Arial"/>
          <w:sz w:val="24"/>
          <w:szCs w:val="24"/>
        </w:rPr>
      </w:pPr>
    </w:p>
    <w:p w14:paraId="3045EB2E"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2. Overall Assurance</w:t>
      </w:r>
    </w:p>
    <w:p w14:paraId="055C1922"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Based on the work undertaken during the year, the Committee is satisfied that:</w:t>
      </w:r>
    </w:p>
    <w:p w14:paraId="393CE387" w14:textId="77777777" w:rsidR="00FD79B7" w:rsidRPr="006D0845" w:rsidRDefault="00FD79B7" w:rsidP="00FD79B7">
      <w:pPr>
        <w:numPr>
          <w:ilvl w:val="0"/>
          <w:numId w:val="1"/>
        </w:numPr>
        <w:spacing w:line="360" w:lineRule="auto"/>
        <w:rPr>
          <w:rFonts w:ascii="Arial" w:hAnsi="Arial" w:cs="Arial"/>
          <w:sz w:val="24"/>
          <w:szCs w:val="24"/>
        </w:rPr>
      </w:pPr>
      <w:r w:rsidRPr="006D0845">
        <w:rPr>
          <w:rFonts w:ascii="Arial" w:hAnsi="Arial" w:cs="Arial"/>
          <w:sz w:val="24"/>
          <w:szCs w:val="24"/>
        </w:rPr>
        <w:t>Appropriate systems of governance, risk management and internal control are in place.</w:t>
      </w:r>
    </w:p>
    <w:p w14:paraId="6FF17207" w14:textId="77777777" w:rsidR="00FD79B7" w:rsidRPr="006D0845" w:rsidRDefault="00FD79B7" w:rsidP="00FD79B7">
      <w:pPr>
        <w:numPr>
          <w:ilvl w:val="0"/>
          <w:numId w:val="1"/>
        </w:numPr>
        <w:spacing w:line="360" w:lineRule="auto"/>
        <w:rPr>
          <w:rFonts w:ascii="Arial" w:hAnsi="Arial" w:cs="Arial"/>
          <w:sz w:val="24"/>
          <w:szCs w:val="24"/>
        </w:rPr>
      </w:pPr>
      <w:r w:rsidRPr="006D0845">
        <w:rPr>
          <w:rFonts w:ascii="Arial" w:hAnsi="Arial" w:cs="Arial"/>
          <w:sz w:val="24"/>
          <w:szCs w:val="24"/>
        </w:rPr>
        <w:lastRenderedPageBreak/>
        <w:t>Internal and external audit arrangements are effective and provide a satisfactory level of assurance.</w:t>
      </w:r>
    </w:p>
    <w:p w14:paraId="1CB07B65" w14:textId="77777777" w:rsidR="00FD79B7" w:rsidRPr="006D0845" w:rsidRDefault="00FD79B7" w:rsidP="00FD79B7">
      <w:pPr>
        <w:numPr>
          <w:ilvl w:val="0"/>
          <w:numId w:val="1"/>
        </w:numPr>
        <w:spacing w:line="360" w:lineRule="auto"/>
        <w:rPr>
          <w:rFonts w:ascii="Arial" w:hAnsi="Arial" w:cs="Arial"/>
          <w:sz w:val="24"/>
          <w:szCs w:val="24"/>
        </w:rPr>
      </w:pPr>
      <w:r w:rsidRPr="006D0845">
        <w:rPr>
          <w:rFonts w:ascii="Arial" w:hAnsi="Arial" w:cs="Arial"/>
          <w:sz w:val="24"/>
          <w:szCs w:val="24"/>
        </w:rPr>
        <w:t>Key strategic and operational risks are actively monitored and managed, with appropriate escalation to the Board where required.</w:t>
      </w:r>
    </w:p>
    <w:p w14:paraId="397A871E" w14:textId="77777777" w:rsidR="00FD79B7" w:rsidRDefault="00FD79B7" w:rsidP="00FD79B7">
      <w:pPr>
        <w:spacing w:line="360" w:lineRule="auto"/>
        <w:rPr>
          <w:rFonts w:ascii="Arial" w:hAnsi="Arial" w:cs="Arial"/>
          <w:sz w:val="24"/>
          <w:szCs w:val="24"/>
        </w:rPr>
      </w:pPr>
      <w:r w:rsidRPr="006D0845">
        <w:rPr>
          <w:rFonts w:ascii="Arial" w:hAnsi="Arial" w:cs="Arial"/>
          <w:sz w:val="24"/>
          <w:szCs w:val="24"/>
        </w:rPr>
        <w:t>This position reflects the continued satisfactory internal audit opinion and positive external audit findings.</w:t>
      </w:r>
    </w:p>
    <w:p w14:paraId="2C9E50EF" w14:textId="77777777" w:rsidR="00FD79B7" w:rsidRPr="006D0845" w:rsidRDefault="00FD79B7" w:rsidP="00FD79B7">
      <w:pPr>
        <w:spacing w:line="360" w:lineRule="auto"/>
        <w:rPr>
          <w:rFonts w:ascii="Arial" w:hAnsi="Arial" w:cs="Arial"/>
          <w:sz w:val="24"/>
          <w:szCs w:val="24"/>
        </w:rPr>
      </w:pPr>
    </w:p>
    <w:p w14:paraId="50939BCB"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3. Governance and Committee Effectiveness</w:t>
      </w:r>
    </w:p>
    <w:p w14:paraId="49CC92B6" w14:textId="77777777" w:rsidR="00FD79B7" w:rsidRDefault="00FD79B7" w:rsidP="00FD79B7">
      <w:pPr>
        <w:spacing w:line="360" w:lineRule="auto"/>
        <w:rPr>
          <w:rFonts w:ascii="Arial" w:hAnsi="Arial" w:cs="Arial"/>
          <w:sz w:val="24"/>
          <w:szCs w:val="24"/>
        </w:rPr>
      </w:pPr>
      <w:r w:rsidRPr="006D0845">
        <w:rPr>
          <w:rFonts w:ascii="Arial" w:hAnsi="Arial" w:cs="Arial"/>
          <w:sz w:val="24"/>
          <w:szCs w:val="24"/>
        </w:rPr>
        <w:t>The Committee undertook its annual self</w:t>
      </w:r>
      <w:r w:rsidRPr="006D0845">
        <w:rPr>
          <w:rFonts w:ascii="Arial" w:hAnsi="Arial" w:cs="Arial"/>
          <w:sz w:val="24"/>
          <w:szCs w:val="24"/>
        </w:rPr>
        <w:noBreakHyphen/>
        <w:t>assessment to review its effectiveness</w:t>
      </w:r>
      <w:r>
        <w:rPr>
          <w:rFonts w:ascii="Arial" w:hAnsi="Arial" w:cs="Arial"/>
          <w:sz w:val="24"/>
          <w:szCs w:val="24"/>
        </w:rPr>
        <w:t xml:space="preserve">. This year a new, more extensive checklist template, as recommended by the NIAO, was completed by all Members and the Senior Leadership Team. </w:t>
      </w:r>
    </w:p>
    <w:p w14:paraId="48253366" w14:textId="77777777" w:rsidR="00FD79B7" w:rsidRDefault="00FD79B7" w:rsidP="00FD79B7">
      <w:pPr>
        <w:spacing w:line="360" w:lineRule="auto"/>
        <w:rPr>
          <w:rFonts w:ascii="Arial" w:hAnsi="Arial" w:cs="Arial"/>
          <w:sz w:val="24"/>
          <w:szCs w:val="24"/>
        </w:rPr>
      </w:pPr>
      <w:r>
        <w:rPr>
          <w:rFonts w:ascii="Arial" w:hAnsi="Arial" w:cs="Arial"/>
          <w:sz w:val="24"/>
          <w:szCs w:val="24"/>
        </w:rPr>
        <w:t>Overall, the assessment highlighted that the Essential Requirements are being met with some minor exceptions noted. In relation to the Good Practice criteria, responses show that overall the Committee is making good progress across all 6 sections.</w:t>
      </w:r>
    </w:p>
    <w:p w14:paraId="56319D61" w14:textId="77777777" w:rsidR="00FD79B7" w:rsidRDefault="00FD79B7" w:rsidP="00FD79B7">
      <w:pPr>
        <w:spacing w:line="360" w:lineRule="auto"/>
        <w:rPr>
          <w:rFonts w:ascii="Arial" w:hAnsi="Arial" w:cs="Arial"/>
          <w:sz w:val="24"/>
          <w:szCs w:val="24"/>
        </w:rPr>
      </w:pPr>
      <w:r>
        <w:rPr>
          <w:rFonts w:ascii="Arial" w:hAnsi="Arial" w:cs="Arial"/>
          <w:sz w:val="24"/>
          <w:szCs w:val="24"/>
        </w:rPr>
        <w:t>Areas for consideration included:</w:t>
      </w:r>
    </w:p>
    <w:p w14:paraId="486F7D76" w14:textId="77777777" w:rsidR="00FD79B7" w:rsidRPr="005E1318" w:rsidRDefault="00FD79B7" w:rsidP="00FD79B7">
      <w:pPr>
        <w:pStyle w:val="ListParagraph"/>
        <w:numPr>
          <w:ilvl w:val="0"/>
          <w:numId w:val="11"/>
        </w:numPr>
        <w:spacing w:line="360" w:lineRule="auto"/>
        <w:rPr>
          <w:rFonts w:ascii="Arial" w:hAnsi="Arial" w:cs="Arial"/>
          <w:sz w:val="24"/>
          <w:szCs w:val="24"/>
        </w:rPr>
      </w:pPr>
      <w:r w:rsidRPr="005E1318">
        <w:rPr>
          <w:rFonts w:ascii="Arial" w:hAnsi="Arial" w:cs="Arial"/>
          <w:sz w:val="24"/>
          <w:szCs w:val="24"/>
        </w:rPr>
        <w:t>Annual Review of PBNI Conflict of Interest Policy</w:t>
      </w:r>
    </w:p>
    <w:p w14:paraId="782CEEEE" w14:textId="77777777" w:rsidR="00FD79B7" w:rsidRPr="005E1318" w:rsidRDefault="00FD79B7" w:rsidP="00FD79B7">
      <w:pPr>
        <w:pStyle w:val="ListParagraph"/>
        <w:numPr>
          <w:ilvl w:val="0"/>
          <w:numId w:val="11"/>
        </w:numPr>
        <w:spacing w:line="360" w:lineRule="auto"/>
        <w:rPr>
          <w:rFonts w:ascii="Arial" w:hAnsi="Arial" w:cs="Arial"/>
          <w:sz w:val="24"/>
          <w:szCs w:val="24"/>
        </w:rPr>
      </w:pPr>
      <w:r>
        <w:rPr>
          <w:rFonts w:ascii="Arial" w:hAnsi="Arial" w:cs="Arial"/>
          <w:sz w:val="24"/>
          <w:szCs w:val="24"/>
        </w:rPr>
        <w:t xml:space="preserve">More regular </w:t>
      </w:r>
      <w:r w:rsidRPr="005E1318">
        <w:rPr>
          <w:rFonts w:ascii="Arial" w:hAnsi="Arial" w:cs="Arial"/>
          <w:sz w:val="24"/>
          <w:szCs w:val="24"/>
        </w:rPr>
        <w:t>review of ARAC Terms of Reference</w:t>
      </w:r>
    </w:p>
    <w:p w14:paraId="6ED72335" w14:textId="77777777" w:rsidR="00FD79B7" w:rsidRDefault="00FD79B7" w:rsidP="00FD79B7">
      <w:pPr>
        <w:pStyle w:val="ListParagraph"/>
        <w:numPr>
          <w:ilvl w:val="0"/>
          <w:numId w:val="11"/>
        </w:numPr>
        <w:spacing w:line="360" w:lineRule="auto"/>
        <w:rPr>
          <w:rFonts w:ascii="Arial" w:hAnsi="Arial" w:cs="Arial"/>
          <w:sz w:val="24"/>
          <w:szCs w:val="24"/>
        </w:rPr>
      </w:pPr>
      <w:r w:rsidRPr="005E1318">
        <w:rPr>
          <w:rFonts w:ascii="Arial" w:hAnsi="Arial" w:cs="Arial"/>
          <w:sz w:val="24"/>
          <w:szCs w:val="24"/>
        </w:rPr>
        <w:t>Undertake a skills mapping exercise and Training Needs Analysis Plan for Members</w:t>
      </w:r>
    </w:p>
    <w:p w14:paraId="4E6EA71B" w14:textId="77777777" w:rsidR="00FD79B7" w:rsidRPr="005E1318" w:rsidRDefault="00FD79B7" w:rsidP="00FD79B7">
      <w:pPr>
        <w:pStyle w:val="ListParagraph"/>
        <w:numPr>
          <w:ilvl w:val="0"/>
          <w:numId w:val="11"/>
        </w:numPr>
        <w:spacing w:line="360" w:lineRule="auto"/>
        <w:rPr>
          <w:rFonts w:ascii="Arial" w:hAnsi="Arial" w:cs="Arial"/>
          <w:sz w:val="24"/>
          <w:szCs w:val="24"/>
        </w:rPr>
      </w:pPr>
      <w:r>
        <w:rPr>
          <w:rFonts w:ascii="Arial" w:hAnsi="Arial" w:cs="Arial"/>
          <w:sz w:val="24"/>
          <w:szCs w:val="24"/>
        </w:rPr>
        <w:t xml:space="preserve">Briefing for Members on the development and governance of AI. </w:t>
      </w:r>
    </w:p>
    <w:p w14:paraId="060DA495" w14:textId="77777777" w:rsidR="00FD79B7" w:rsidRPr="006D0845" w:rsidRDefault="00FD79B7" w:rsidP="00FD79B7">
      <w:pPr>
        <w:spacing w:line="360" w:lineRule="auto"/>
        <w:rPr>
          <w:rFonts w:ascii="Arial" w:hAnsi="Arial" w:cs="Arial"/>
          <w:sz w:val="24"/>
          <w:szCs w:val="24"/>
        </w:rPr>
      </w:pPr>
      <w:r>
        <w:rPr>
          <w:rFonts w:ascii="Arial" w:hAnsi="Arial" w:cs="Arial"/>
          <w:sz w:val="24"/>
          <w:szCs w:val="24"/>
        </w:rPr>
        <w:t xml:space="preserve">These considerations will be </w:t>
      </w:r>
      <w:r w:rsidRPr="006D0845">
        <w:rPr>
          <w:rFonts w:ascii="Arial" w:hAnsi="Arial" w:cs="Arial"/>
          <w:sz w:val="24"/>
          <w:szCs w:val="24"/>
        </w:rPr>
        <w:t>progressed through the Board Secretariat</w:t>
      </w:r>
      <w:r>
        <w:rPr>
          <w:rFonts w:ascii="Arial" w:hAnsi="Arial" w:cs="Arial"/>
          <w:sz w:val="24"/>
          <w:szCs w:val="24"/>
        </w:rPr>
        <w:t xml:space="preserve">. </w:t>
      </w:r>
      <w:r w:rsidRPr="006D0845">
        <w:rPr>
          <w:rFonts w:ascii="Arial" w:hAnsi="Arial" w:cs="Arial"/>
          <w:sz w:val="24"/>
          <w:szCs w:val="24"/>
        </w:rPr>
        <w:t xml:space="preserve"> </w:t>
      </w:r>
    </w:p>
    <w:p w14:paraId="546F9F93" w14:textId="77777777" w:rsidR="00FD79B7" w:rsidRDefault="00FD79B7" w:rsidP="00FD79B7">
      <w:pPr>
        <w:spacing w:line="360" w:lineRule="auto"/>
        <w:rPr>
          <w:rFonts w:ascii="Arial" w:hAnsi="Arial" w:cs="Arial"/>
          <w:b/>
          <w:bCs/>
          <w:sz w:val="24"/>
          <w:szCs w:val="24"/>
        </w:rPr>
      </w:pPr>
    </w:p>
    <w:p w14:paraId="5949B420"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4. Risk Management and Assurance</w:t>
      </w:r>
    </w:p>
    <w:p w14:paraId="7B9014C6"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ARAC maintained oversight of the Strategic Risk Register (SRR) throughout the year, reviewing risks on at least a quarterly basis.</w:t>
      </w:r>
    </w:p>
    <w:p w14:paraId="6179F85F" w14:textId="77777777" w:rsidR="00FD79B7" w:rsidRPr="006D0845" w:rsidRDefault="00FD79B7" w:rsidP="00FD79B7">
      <w:pPr>
        <w:spacing w:line="360" w:lineRule="auto"/>
        <w:rPr>
          <w:rFonts w:ascii="Arial" w:hAnsi="Arial" w:cs="Arial"/>
          <w:sz w:val="24"/>
          <w:szCs w:val="24"/>
        </w:rPr>
      </w:pPr>
      <w:r>
        <w:rPr>
          <w:rFonts w:ascii="Arial" w:hAnsi="Arial" w:cs="Arial"/>
          <w:sz w:val="24"/>
          <w:szCs w:val="24"/>
        </w:rPr>
        <w:t>The Committee focused on the following key risks</w:t>
      </w:r>
      <w:r w:rsidRPr="006D0845">
        <w:rPr>
          <w:rFonts w:ascii="Arial" w:hAnsi="Arial" w:cs="Arial"/>
          <w:sz w:val="24"/>
          <w:szCs w:val="24"/>
        </w:rPr>
        <w:t>:</w:t>
      </w:r>
    </w:p>
    <w:p w14:paraId="1F3A4BE0" w14:textId="77777777" w:rsidR="00FD79B7" w:rsidRPr="00AC09A3" w:rsidRDefault="00FD79B7" w:rsidP="00FD79B7">
      <w:pPr>
        <w:numPr>
          <w:ilvl w:val="0"/>
          <w:numId w:val="3"/>
        </w:numPr>
        <w:spacing w:line="360" w:lineRule="auto"/>
        <w:rPr>
          <w:rFonts w:ascii="Arial" w:hAnsi="Arial" w:cs="Arial"/>
          <w:sz w:val="24"/>
          <w:szCs w:val="24"/>
        </w:rPr>
      </w:pPr>
      <w:r w:rsidRPr="00AC09A3">
        <w:rPr>
          <w:rFonts w:ascii="Arial" w:hAnsi="Arial" w:cs="Arial"/>
          <w:sz w:val="24"/>
          <w:szCs w:val="24"/>
        </w:rPr>
        <w:lastRenderedPageBreak/>
        <w:t xml:space="preserve">Staff Resources and Capacity: </w:t>
      </w:r>
      <w:r>
        <w:rPr>
          <w:rFonts w:ascii="Arial" w:hAnsi="Arial" w:cs="Arial"/>
          <w:sz w:val="24"/>
          <w:szCs w:val="24"/>
        </w:rPr>
        <w:t>w</w:t>
      </w:r>
      <w:r w:rsidRPr="00AC09A3">
        <w:rPr>
          <w:rFonts w:ascii="Arial" w:hAnsi="Arial" w:cs="Arial"/>
          <w:sz w:val="24"/>
          <w:szCs w:val="24"/>
        </w:rPr>
        <w:t xml:space="preserve">orkforce capacity pressures, including high levels of sickness absence – this risk was added to the register in November 2025 </w:t>
      </w:r>
      <w:r>
        <w:rPr>
          <w:rFonts w:ascii="Arial" w:hAnsi="Arial" w:cs="Arial"/>
          <w:sz w:val="24"/>
          <w:szCs w:val="24"/>
        </w:rPr>
        <w:t>with a r</w:t>
      </w:r>
      <w:r w:rsidRPr="00AC09A3">
        <w:rPr>
          <w:rFonts w:ascii="Arial" w:hAnsi="Arial" w:cs="Arial"/>
          <w:sz w:val="24"/>
          <w:szCs w:val="24"/>
        </w:rPr>
        <w:t>ed risk</w:t>
      </w:r>
      <w:r>
        <w:rPr>
          <w:rFonts w:ascii="Arial" w:hAnsi="Arial" w:cs="Arial"/>
          <w:sz w:val="24"/>
          <w:szCs w:val="24"/>
        </w:rPr>
        <w:t xml:space="preserve"> scoring</w:t>
      </w:r>
      <w:r w:rsidRPr="00AC09A3">
        <w:rPr>
          <w:rFonts w:ascii="Arial" w:hAnsi="Arial" w:cs="Arial"/>
          <w:sz w:val="24"/>
          <w:szCs w:val="24"/>
        </w:rPr>
        <w:t xml:space="preserve">.    </w:t>
      </w:r>
    </w:p>
    <w:p w14:paraId="1A7D916A" w14:textId="77777777" w:rsidR="00FD79B7" w:rsidRDefault="00FD79B7" w:rsidP="00FD79B7">
      <w:pPr>
        <w:numPr>
          <w:ilvl w:val="0"/>
          <w:numId w:val="3"/>
        </w:numPr>
        <w:spacing w:line="360" w:lineRule="auto"/>
        <w:rPr>
          <w:rFonts w:ascii="Arial" w:hAnsi="Arial" w:cs="Arial"/>
          <w:sz w:val="24"/>
          <w:szCs w:val="24"/>
        </w:rPr>
      </w:pPr>
      <w:r>
        <w:rPr>
          <w:rFonts w:ascii="Arial" w:hAnsi="Arial" w:cs="Arial"/>
          <w:sz w:val="24"/>
          <w:szCs w:val="24"/>
        </w:rPr>
        <w:t>Programmes and Interventions: c</w:t>
      </w:r>
      <w:r w:rsidRPr="006D0845">
        <w:rPr>
          <w:rFonts w:ascii="Arial" w:hAnsi="Arial" w:cs="Arial"/>
          <w:sz w:val="24"/>
          <w:szCs w:val="24"/>
        </w:rPr>
        <w:t>hanges to programme delivery and implementation of new interventions</w:t>
      </w:r>
      <w:r>
        <w:rPr>
          <w:rFonts w:ascii="Arial" w:hAnsi="Arial" w:cs="Arial"/>
          <w:sz w:val="24"/>
          <w:szCs w:val="24"/>
        </w:rPr>
        <w:t xml:space="preserve"> - this risk was categorised as red up until November 2025. It was reduced to amber </w:t>
      </w:r>
      <w:r w:rsidRPr="00A34774">
        <w:rPr>
          <w:rFonts w:ascii="Arial" w:hAnsi="Arial" w:cs="Arial"/>
          <w:sz w:val="24"/>
          <w:szCs w:val="24"/>
        </w:rPr>
        <w:t>due to information emerging in relation to the new HMPPS programme ‘Building Choices’</w:t>
      </w:r>
      <w:r>
        <w:rPr>
          <w:rFonts w:ascii="Arial" w:hAnsi="Arial" w:cs="Arial"/>
          <w:sz w:val="24"/>
          <w:szCs w:val="24"/>
        </w:rPr>
        <w:t>.</w:t>
      </w:r>
    </w:p>
    <w:p w14:paraId="5E405C75" w14:textId="77777777" w:rsidR="00FD79B7" w:rsidRDefault="00FD79B7" w:rsidP="00FD79B7">
      <w:pPr>
        <w:numPr>
          <w:ilvl w:val="0"/>
          <w:numId w:val="3"/>
        </w:numPr>
        <w:spacing w:line="360" w:lineRule="auto"/>
        <w:rPr>
          <w:rFonts w:ascii="Arial" w:hAnsi="Arial" w:cs="Arial"/>
          <w:sz w:val="24"/>
          <w:szCs w:val="24"/>
        </w:rPr>
      </w:pPr>
      <w:r>
        <w:rPr>
          <w:rFonts w:ascii="Arial" w:hAnsi="Arial" w:cs="Arial"/>
          <w:sz w:val="24"/>
          <w:szCs w:val="24"/>
        </w:rPr>
        <w:t>Risk Management of Service Users: During Q1/ Q2 this risk was categorised as red. Additional controls put in place in relation to recruitment and organisational learning from SFOs reduced the status to amber in Q3 / Q4.</w:t>
      </w:r>
    </w:p>
    <w:p w14:paraId="6627E33F" w14:textId="77777777" w:rsidR="00FD79B7" w:rsidRDefault="00FD79B7" w:rsidP="00FD79B7">
      <w:pPr>
        <w:numPr>
          <w:ilvl w:val="0"/>
          <w:numId w:val="3"/>
        </w:numPr>
        <w:spacing w:line="360" w:lineRule="auto"/>
        <w:rPr>
          <w:rFonts w:ascii="Arial" w:hAnsi="Arial" w:cs="Arial"/>
          <w:sz w:val="24"/>
          <w:szCs w:val="24"/>
        </w:rPr>
      </w:pPr>
      <w:r w:rsidRPr="00AC09A3">
        <w:rPr>
          <w:rFonts w:ascii="Arial" w:hAnsi="Arial" w:cs="Arial"/>
          <w:sz w:val="24"/>
          <w:szCs w:val="24"/>
        </w:rPr>
        <w:t xml:space="preserve">Budget: Financial pressures and in-year budget management - this risk moved from red in Q1 / Q2 to amber in Q3 and yellow in Q4 </w:t>
      </w:r>
      <w:r w:rsidRPr="00CF5859">
        <w:rPr>
          <w:rFonts w:ascii="Arial" w:hAnsi="Arial" w:cs="Arial"/>
          <w:sz w:val="24"/>
          <w:szCs w:val="24"/>
        </w:rPr>
        <w:t>due to the initial saving plan being agreed by the Board and the opening pressure reduced.</w:t>
      </w:r>
      <w:r w:rsidRPr="00AC09A3">
        <w:rPr>
          <w:rFonts w:ascii="Arial" w:hAnsi="Arial" w:cs="Arial"/>
          <w:sz w:val="24"/>
          <w:szCs w:val="24"/>
        </w:rPr>
        <w:t xml:space="preserve">  </w:t>
      </w:r>
    </w:p>
    <w:p w14:paraId="2345D390" w14:textId="77777777" w:rsidR="00FD79B7" w:rsidRDefault="00FD79B7" w:rsidP="00FD79B7">
      <w:pPr>
        <w:numPr>
          <w:ilvl w:val="0"/>
          <w:numId w:val="3"/>
        </w:numPr>
        <w:spacing w:line="360" w:lineRule="auto"/>
        <w:rPr>
          <w:rFonts w:ascii="Arial" w:hAnsi="Arial" w:cs="Arial"/>
          <w:sz w:val="24"/>
          <w:szCs w:val="24"/>
        </w:rPr>
      </w:pPr>
      <w:r>
        <w:rPr>
          <w:rFonts w:ascii="Arial" w:hAnsi="Arial" w:cs="Arial"/>
          <w:sz w:val="24"/>
          <w:szCs w:val="24"/>
        </w:rPr>
        <w:t>Technology: d</w:t>
      </w:r>
      <w:r w:rsidRPr="006D0845">
        <w:rPr>
          <w:rFonts w:ascii="Arial" w:hAnsi="Arial" w:cs="Arial"/>
          <w:sz w:val="24"/>
          <w:szCs w:val="24"/>
        </w:rPr>
        <w:t>elivery risks associated with the Causeway Onboarding Programme</w:t>
      </w:r>
      <w:r>
        <w:rPr>
          <w:rFonts w:ascii="Arial" w:hAnsi="Arial" w:cs="Arial"/>
          <w:sz w:val="24"/>
          <w:szCs w:val="24"/>
        </w:rPr>
        <w:t xml:space="preserve"> - this risk was amber up until November 2025. It was then escalated to a red risk following an Independent Peer review and significant  issues with connectivity which resulted in the go-live date of January 2026 not being achieved.   </w:t>
      </w:r>
    </w:p>
    <w:p w14:paraId="48D1EF76" w14:textId="77777777" w:rsidR="00FD79B7" w:rsidRDefault="00FD79B7" w:rsidP="00FD79B7">
      <w:pPr>
        <w:numPr>
          <w:ilvl w:val="0"/>
          <w:numId w:val="3"/>
        </w:numPr>
        <w:spacing w:line="360" w:lineRule="auto"/>
        <w:rPr>
          <w:rFonts w:ascii="Arial" w:hAnsi="Arial" w:cs="Arial"/>
          <w:sz w:val="24"/>
          <w:szCs w:val="24"/>
        </w:rPr>
      </w:pPr>
      <w:r>
        <w:rPr>
          <w:rFonts w:ascii="Arial" w:hAnsi="Arial" w:cs="Arial"/>
          <w:sz w:val="24"/>
          <w:szCs w:val="24"/>
        </w:rPr>
        <w:t xml:space="preserve">Business Continuity: The status of this risk remained at amber throughout 2025-26. </w:t>
      </w:r>
    </w:p>
    <w:p w14:paraId="38DC6BE4"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The Committee also:</w:t>
      </w:r>
    </w:p>
    <w:p w14:paraId="7B23E47D" w14:textId="77777777" w:rsidR="00FD79B7" w:rsidRPr="006D0845" w:rsidRDefault="00FD79B7" w:rsidP="00FD79B7">
      <w:pPr>
        <w:numPr>
          <w:ilvl w:val="0"/>
          <w:numId w:val="4"/>
        </w:numPr>
        <w:spacing w:line="360" w:lineRule="auto"/>
        <w:rPr>
          <w:rFonts w:ascii="Arial" w:hAnsi="Arial" w:cs="Arial"/>
          <w:sz w:val="24"/>
          <w:szCs w:val="24"/>
        </w:rPr>
      </w:pPr>
      <w:r w:rsidRPr="006D0845">
        <w:rPr>
          <w:rFonts w:ascii="Arial" w:hAnsi="Arial" w:cs="Arial"/>
          <w:sz w:val="24"/>
          <w:szCs w:val="24"/>
        </w:rPr>
        <w:t>Reviewed and recommended updates to the SRR for Board approval.</w:t>
      </w:r>
    </w:p>
    <w:p w14:paraId="2B01875F" w14:textId="77777777" w:rsidR="00FD79B7" w:rsidRPr="006D0845" w:rsidRDefault="00FD79B7" w:rsidP="00FD79B7">
      <w:pPr>
        <w:numPr>
          <w:ilvl w:val="0"/>
          <w:numId w:val="4"/>
        </w:numPr>
        <w:spacing w:line="360" w:lineRule="auto"/>
        <w:rPr>
          <w:rFonts w:ascii="Arial" w:hAnsi="Arial" w:cs="Arial"/>
          <w:sz w:val="24"/>
          <w:szCs w:val="24"/>
        </w:rPr>
      </w:pPr>
      <w:r w:rsidRPr="006D0845">
        <w:rPr>
          <w:rFonts w:ascii="Arial" w:hAnsi="Arial" w:cs="Arial"/>
          <w:sz w:val="24"/>
          <w:szCs w:val="24"/>
        </w:rPr>
        <w:t>Monitored Departmental Risk Registers.</w:t>
      </w:r>
    </w:p>
    <w:p w14:paraId="74B31A01" w14:textId="77777777" w:rsidR="00FD79B7" w:rsidRPr="006D0845" w:rsidRDefault="00FD79B7" w:rsidP="00FD79B7">
      <w:pPr>
        <w:numPr>
          <w:ilvl w:val="0"/>
          <w:numId w:val="4"/>
        </w:numPr>
        <w:spacing w:line="360" w:lineRule="auto"/>
        <w:rPr>
          <w:rFonts w:ascii="Arial" w:hAnsi="Arial" w:cs="Arial"/>
          <w:sz w:val="24"/>
          <w:szCs w:val="24"/>
        </w:rPr>
      </w:pPr>
      <w:r w:rsidRPr="006D0845">
        <w:rPr>
          <w:rFonts w:ascii="Arial" w:hAnsi="Arial" w:cs="Arial"/>
          <w:sz w:val="24"/>
          <w:szCs w:val="24"/>
        </w:rPr>
        <w:t>Supported development of an Assurance Mapping Framework to strengthen end</w:t>
      </w:r>
      <w:r w:rsidRPr="006D0845">
        <w:rPr>
          <w:rFonts w:ascii="Arial" w:hAnsi="Arial" w:cs="Arial"/>
          <w:sz w:val="24"/>
          <w:szCs w:val="24"/>
        </w:rPr>
        <w:noBreakHyphen/>
        <w:t>to</w:t>
      </w:r>
      <w:r w:rsidRPr="006D0845">
        <w:rPr>
          <w:rFonts w:ascii="Arial" w:hAnsi="Arial" w:cs="Arial"/>
          <w:sz w:val="24"/>
          <w:szCs w:val="24"/>
        </w:rPr>
        <w:noBreakHyphen/>
        <w:t>end assurance.</w:t>
      </w:r>
    </w:p>
    <w:p w14:paraId="15F9980B" w14:textId="77777777" w:rsidR="00FD79B7" w:rsidRDefault="00FD79B7" w:rsidP="00FD79B7">
      <w:pPr>
        <w:spacing w:line="360" w:lineRule="auto"/>
        <w:rPr>
          <w:rFonts w:ascii="Arial" w:hAnsi="Arial" w:cs="Arial"/>
          <w:b/>
          <w:bCs/>
          <w:sz w:val="24"/>
          <w:szCs w:val="24"/>
        </w:rPr>
      </w:pPr>
    </w:p>
    <w:p w14:paraId="234AA541"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5. Internal Audit</w:t>
      </w:r>
    </w:p>
    <w:p w14:paraId="01B27E7E"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The Committee maintained close oversight of the Internal Audit Plan 2025–26 and associated reports.</w:t>
      </w:r>
    </w:p>
    <w:p w14:paraId="37AB4D03"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Key points:</w:t>
      </w:r>
    </w:p>
    <w:p w14:paraId="41B6507F" w14:textId="77777777" w:rsidR="00FD79B7" w:rsidRDefault="00FD79B7" w:rsidP="00FD79B7">
      <w:pPr>
        <w:numPr>
          <w:ilvl w:val="0"/>
          <w:numId w:val="5"/>
        </w:numPr>
        <w:spacing w:line="360" w:lineRule="auto"/>
        <w:rPr>
          <w:rFonts w:ascii="Arial" w:hAnsi="Arial" w:cs="Arial"/>
          <w:sz w:val="24"/>
          <w:szCs w:val="24"/>
        </w:rPr>
      </w:pPr>
      <w:r>
        <w:rPr>
          <w:rFonts w:ascii="Arial" w:hAnsi="Arial" w:cs="Arial"/>
          <w:sz w:val="24"/>
          <w:szCs w:val="24"/>
        </w:rPr>
        <w:lastRenderedPageBreak/>
        <w:t xml:space="preserve">During 2025-26 Internal Audit completed three planned Audits which remained on track: </w:t>
      </w:r>
    </w:p>
    <w:p w14:paraId="0A3AF1E8" w14:textId="77777777" w:rsidR="00FD79B7" w:rsidRPr="000B71B4" w:rsidRDefault="00FD79B7" w:rsidP="00FD79B7">
      <w:pPr>
        <w:numPr>
          <w:ilvl w:val="1"/>
          <w:numId w:val="5"/>
        </w:numPr>
        <w:spacing w:line="360" w:lineRule="auto"/>
        <w:rPr>
          <w:rFonts w:ascii="Arial" w:hAnsi="Arial" w:cs="Arial"/>
          <w:sz w:val="24"/>
          <w:szCs w:val="24"/>
        </w:rPr>
      </w:pPr>
      <w:r>
        <w:rPr>
          <w:rFonts w:ascii="Arial" w:hAnsi="Arial" w:cs="Arial"/>
          <w:color w:val="000000"/>
          <w:sz w:val="24"/>
          <w:szCs w:val="24"/>
        </w:rPr>
        <w:t xml:space="preserve">Review of Area Manager Monitoring </w:t>
      </w:r>
    </w:p>
    <w:p w14:paraId="125EF5A0" w14:textId="77777777" w:rsidR="00FD79B7" w:rsidRPr="000B71B4" w:rsidRDefault="00FD79B7" w:rsidP="00FD79B7">
      <w:pPr>
        <w:numPr>
          <w:ilvl w:val="1"/>
          <w:numId w:val="5"/>
        </w:numPr>
        <w:spacing w:line="360" w:lineRule="auto"/>
        <w:rPr>
          <w:rFonts w:ascii="Arial" w:hAnsi="Arial" w:cs="Arial"/>
          <w:sz w:val="24"/>
          <w:szCs w:val="24"/>
        </w:rPr>
      </w:pPr>
      <w:r w:rsidRPr="000B71B4">
        <w:rPr>
          <w:rFonts w:ascii="Arial" w:hAnsi="Arial" w:cs="Arial"/>
          <w:sz w:val="24"/>
          <w:szCs w:val="24"/>
        </w:rPr>
        <w:t>Creditors</w:t>
      </w:r>
      <w:r>
        <w:rPr>
          <w:rFonts w:ascii="Arial" w:hAnsi="Arial" w:cs="Arial"/>
          <w:sz w:val="24"/>
          <w:szCs w:val="24"/>
        </w:rPr>
        <w:t>’</w:t>
      </w:r>
      <w:r w:rsidRPr="000B71B4">
        <w:rPr>
          <w:rFonts w:ascii="Arial" w:hAnsi="Arial" w:cs="Arial"/>
          <w:sz w:val="24"/>
          <w:szCs w:val="24"/>
        </w:rPr>
        <w:t xml:space="preserve"> Payments including Gifts and Hospitality</w:t>
      </w:r>
    </w:p>
    <w:p w14:paraId="6001B245" w14:textId="77777777" w:rsidR="00FD79B7" w:rsidRPr="000B71B4" w:rsidRDefault="00FD79B7" w:rsidP="00FD79B7">
      <w:pPr>
        <w:numPr>
          <w:ilvl w:val="1"/>
          <w:numId w:val="5"/>
        </w:numPr>
        <w:spacing w:line="360" w:lineRule="auto"/>
        <w:rPr>
          <w:rFonts w:ascii="Arial" w:hAnsi="Arial" w:cs="Arial"/>
          <w:sz w:val="24"/>
          <w:szCs w:val="24"/>
        </w:rPr>
      </w:pPr>
      <w:r w:rsidRPr="000B71B4">
        <w:rPr>
          <w:rFonts w:ascii="Arial" w:hAnsi="Arial" w:cs="Arial"/>
          <w:sz w:val="24"/>
          <w:szCs w:val="24"/>
        </w:rPr>
        <w:t>Case Management IT System</w:t>
      </w:r>
    </w:p>
    <w:p w14:paraId="3C20F548" w14:textId="77777777" w:rsidR="00FD79B7" w:rsidRPr="006D0845" w:rsidRDefault="00FD79B7" w:rsidP="00FD79B7">
      <w:pPr>
        <w:numPr>
          <w:ilvl w:val="0"/>
          <w:numId w:val="5"/>
        </w:numPr>
        <w:spacing w:line="360" w:lineRule="auto"/>
        <w:rPr>
          <w:rFonts w:ascii="Arial" w:hAnsi="Arial" w:cs="Arial"/>
          <w:sz w:val="24"/>
          <w:szCs w:val="24"/>
        </w:rPr>
      </w:pPr>
      <w:r w:rsidRPr="006D0845">
        <w:rPr>
          <w:rFonts w:ascii="Arial" w:hAnsi="Arial" w:cs="Arial"/>
          <w:sz w:val="24"/>
          <w:szCs w:val="24"/>
        </w:rPr>
        <w:t>Audit reviews provided a satisfactory level of assurance, with agreed management actions.</w:t>
      </w:r>
    </w:p>
    <w:p w14:paraId="576E9A6E" w14:textId="77777777" w:rsidR="00FD79B7" w:rsidRPr="006D0845" w:rsidRDefault="00FD79B7" w:rsidP="00FD79B7">
      <w:pPr>
        <w:numPr>
          <w:ilvl w:val="0"/>
          <w:numId w:val="5"/>
        </w:numPr>
        <w:spacing w:line="360" w:lineRule="auto"/>
        <w:rPr>
          <w:rFonts w:ascii="Arial" w:hAnsi="Arial" w:cs="Arial"/>
          <w:sz w:val="24"/>
          <w:szCs w:val="24"/>
        </w:rPr>
      </w:pPr>
      <w:r w:rsidRPr="006D0845">
        <w:rPr>
          <w:rFonts w:ascii="Arial" w:hAnsi="Arial" w:cs="Arial"/>
          <w:sz w:val="24"/>
          <w:szCs w:val="24"/>
        </w:rPr>
        <w:t>Recommendations</w:t>
      </w:r>
      <w:r>
        <w:rPr>
          <w:rFonts w:ascii="Arial" w:hAnsi="Arial" w:cs="Arial"/>
          <w:sz w:val="24"/>
          <w:szCs w:val="24"/>
        </w:rPr>
        <w:t xml:space="preserve"> for the first audit </w:t>
      </w:r>
      <w:r w:rsidRPr="006D0845">
        <w:rPr>
          <w:rFonts w:ascii="Arial" w:hAnsi="Arial" w:cs="Arial"/>
          <w:sz w:val="24"/>
          <w:szCs w:val="24"/>
        </w:rPr>
        <w:t>were actively monitored through the Audit Control Log.</w:t>
      </w:r>
      <w:r>
        <w:rPr>
          <w:rFonts w:ascii="Arial" w:hAnsi="Arial" w:cs="Arial"/>
          <w:sz w:val="24"/>
          <w:szCs w:val="24"/>
        </w:rPr>
        <w:t xml:space="preserve"> There were no recommendations or issues to note in the second and third audits.</w:t>
      </w:r>
    </w:p>
    <w:p w14:paraId="49274E8B" w14:textId="77777777" w:rsidR="00FD79B7" w:rsidRPr="008528A7" w:rsidRDefault="00FD79B7" w:rsidP="00FD79B7">
      <w:pPr>
        <w:spacing w:line="360" w:lineRule="auto"/>
        <w:rPr>
          <w:rFonts w:ascii="Arial" w:hAnsi="Arial" w:cs="Arial"/>
          <w:sz w:val="24"/>
          <w:szCs w:val="24"/>
        </w:rPr>
      </w:pPr>
      <w:r w:rsidRPr="006D0845">
        <w:rPr>
          <w:rFonts w:ascii="Arial" w:hAnsi="Arial" w:cs="Arial"/>
          <w:sz w:val="24"/>
          <w:szCs w:val="24"/>
        </w:rPr>
        <w:t xml:space="preserve">The Committee also reviewed forward planning for Internal Audit and ensured </w:t>
      </w:r>
      <w:r w:rsidRPr="008528A7">
        <w:rPr>
          <w:rFonts w:ascii="Arial" w:hAnsi="Arial" w:cs="Arial"/>
          <w:sz w:val="24"/>
          <w:szCs w:val="24"/>
        </w:rPr>
        <w:t>progress against outstanding recommendations.</w:t>
      </w:r>
    </w:p>
    <w:p w14:paraId="03FD0982" w14:textId="77777777" w:rsidR="00FD79B7" w:rsidRDefault="00FD79B7" w:rsidP="00FD79B7">
      <w:pPr>
        <w:spacing w:line="360" w:lineRule="auto"/>
        <w:rPr>
          <w:rFonts w:ascii="Arial" w:hAnsi="Arial" w:cs="Arial"/>
          <w:bCs/>
          <w:sz w:val="24"/>
          <w:szCs w:val="24"/>
        </w:rPr>
      </w:pPr>
      <w:r w:rsidRPr="008528A7">
        <w:rPr>
          <w:rFonts w:ascii="Arial" w:hAnsi="Arial" w:cs="Arial"/>
          <w:sz w:val="24"/>
          <w:szCs w:val="24"/>
        </w:rPr>
        <w:t xml:space="preserve">The Committee approved the </w:t>
      </w:r>
      <w:r w:rsidRPr="008528A7">
        <w:rPr>
          <w:rFonts w:ascii="Arial" w:hAnsi="Arial" w:cs="Arial"/>
          <w:bCs/>
          <w:sz w:val="24"/>
          <w:szCs w:val="24"/>
        </w:rPr>
        <w:t>Internal Audit Charter and Mandate for PBNI 2025-27</w:t>
      </w:r>
      <w:r>
        <w:rPr>
          <w:rFonts w:ascii="Arial" w:hAnsi="Arial" w:cs="Arial"/>
          <w:bCs/>
          <w:sz w:val="24"/>
          <w:szCs w:val="24"/>
        </w:rPr>
        <w:t>.</w:t>
      </w:r>
    </w:p>
    <w:p w14:paraId="1D627FFE" w14:textId="77777777" w:rsidR="00FD79B7" w:rsidRPr="008528A7" w:rsidRDefault="00FD79B7" w:rsidP="00FD79B7">
      <w:pPr>
        <w:spacing w:line="360" w:lineRule="auto"/>
        <w:rPr>
          <w:rFonts w:ascii="Arial" w:hAnsi="Arial" w:cs="Arial"/>
          <w:sz w:val="24"/>
          <w:szCs w:val="24"/>
        </w:rPr>
      </w:pPr>
    </w:p>
    <w:p w14:paraId="66D4FCDA"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6. External Audit and Financial Oversight</w:t>
      </w:r>
    </w:p>
    <w:p w14:paraId="13F51F46"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 xml:space="preserve">The Committee considered </w:t>
      </w:r>
      <w:r>
        <w:rPr>
          <w:rFonts w:ascii="Arial" w:hAnsi="Arial" w:cs="Arial"/>
          <w:sz w:val="24"/>
          <w:szCs w:val="24"/>
        </w:rPr>
        <w:t xml:space="preserve">the </w:t>
      </w:r>
      <w:r w:rsidRPr="006D0845">
        <w:rPr>
          <w:rFonts w:ascii="Arial" w:hAnsi="Arial" w:cs="Arial"/>
          <w:sz w:val="24"/>
          <w:szCs w:val="24"/>
        </w:rPr>
        <w:t>External Audit report</w:t>
      </w:r>
      <w:r>
        <w:rPr>
          <w:rFonts w:ascii="Arial" w:hAnsi="Arial" w:cs="Arial"/>
          <w:sz w:val="24"/>
          <w:szCs w:val="24"/>
        </w:rPr>
        <w:t>s</w:t>
      </w:r>
      <w:r w:rsidRPr="006D0845">
        <w:rPr>
          <w:rFonts w:ascii="Arial" w:hAnsi="Arial" w:cs="Arial"/>
          <w:sz w:val="24"/>
          <w:szCs w:val="24"/>
        </w:rPr>
        <w:t xml:space="preserve"> for 202</w:t>
      </w:r>
      <w:r>
        <w:rPr>
          <w:rFonts w:ascii="Arial" w:hAnsi="Arial" w:cs="Arial"/>
          <w:sz w:val="24"/>
          <w:szCs w:val="24"/>
        </w:rPr>
        <w:t>4</w:t>
      </w:r>
      <w:r w:rsidRPr="006D0845">
        <w:rPr>
          <w:rFonts w:ascii="Arial" w:hAnsi="Arial" w:cs="Arial"/>
          <w:sz w:val="24"/>
          <w:szCs w:val="24"/>
        </w:rPr>
        <w:t>–2</w:t>
      </w:r>
      <w:r>
        <w:rPr>
          <w:rFonts w:ascii="Arial" w:hAnsi="Arial" w:cs="Arial"/>
          <w:sz w:val="24"/>
          <w:szCs w:val="24"/>
        </w:rPr>
        <w:t>5</w:t>
      </w:r>
      <w:r w:rsidRPr="006D0845">
        <w:rPr>
          <w:rFonts w:ascii="Arial" w:hAnsi="Arial" w:cs="Arial"/>
          <w:sz w:val="24"/>
          <w:szCs w:val="24"/>
        </w:rPr>
        <w:t>.</w:t>
      </w:r>
    </w:p>
    <w:p w14:paraId="3DBD7F5F"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Key outcomes:</w:t>
      </w:r>
    </w:p>
    <w:p w14:paraId="29CC292B" w14:textId="77777777" w:rsidR="00FD79B7" w:rsidRPr="006D0845" w:rsidRDefault="00FD79B7" w:rsidP="00FD79B7">
      <w:pPr>
        <w:numPr>
          <w:ilvl w:val="0"/>
          <w:numId w:val="6"/>
        </w:numPr>
        <w:spacing w:line="360" w:lineRule="auto"/>
        <w:rPr>
          <w:rFonts w:ascii="Arial" w:hAnsi="Arial" w:cs="Arial"/>
          <w:sz w:val="24"/>
          <w:szCs w:val="24"/>
        </w:rPr>
      </w:pPr>
      <w:r w:rsidRPr="006D0845">
        <w:rPr>
          <w:rFonts w:ascii="Arial" w:hAnsi="Arial" w:cs="Arial"/>
          <w:sz w:val="24"/>
          <w:szCs w:val="24"/>
        </w:rPr>
        <w:t>External Audit findings were positive with no significant issues identified.</w:t>
      </w:r>
    </w:p>
    <w:p w14:paraId="18541F4E" w14:textId="77777777" w:rsidR="00FD79B7" w:rsidRPr="006D0845" w:rsidRDefault="00FD79B7" w:rsidP="00FD79B7">
      <w:pPr>
        <w:numPr>
          <w:ilvl w:val="0"/>
          <w:numId w:val="6"/>
        </w:numPr>
        <w:spacing w:line="360" w:lineRule="auto"/>
        <w:rPr>
          <w:rFonts w:ascii="Arial" w:hAnsi="Arial" w:cs="Arial"/>
          <w:sz w:val="24"/>
          <w:szCs w:val="24"/>
        </w:rPr>
      </w:pPr>
      <w:r w:rsidRPr="006D0845">
        <w:rPr>
          <w:rFonts w:ascii="Arial" w:hAnsi="Arial" w:cs="Arial"/>
          <w:sz w:val="24"/>
          <w:szCs w:val="24"/>
        </w:rPr>
        <w:t>Financial statements were supported by an unqualified audit opinion.</w:t>
      </w:r>
    </w:p>
    <w:p w14:paraId="6E41AE27" w14:textId="77777777" w:rsidR="00FD79B7" w:rsidRDefault="00FD79B7" w:rsidP="00FD79B7">
      <w:pPr>
        <w:spacing w:line="360" w:lineRule="auto"/>
        <w:rPr>
          <w:rFonts w:ascii="Arial" w:hAnsi="Arial" w:cs="Arial"/>
          <w:sz w:val="24"/>
          <w:szCs w:val="24"/>
        </w:rPr>
      </w:pPr>
      <w:r w:rsidRPr="006D0845">
        <w:rPr>
          <w:rFonts w:ascii="Arial" w:hAnsi="Arial" w:cs="Arial"/>
          <w:sz w:val="24"/>
          <w:szCs w:val="24"/>
        </w:rPr>
        <w:t>The Committee also reviewed the Annual Report and Accounts prior to submission to the Board</w:t>
      </w:r>
      <w:r>
        <w:rPr>
          <w:rFonts w:ascii="Arial" w:hAnsi="Arial" w:cs="Arial"/>
          <w:sz w:val="24"/>
          <w:szCs w:val="24"/>
        </w:rPr>
        <w:t xml:space="preserve">. </w:t>
      </w:r>
    </w:p>
    <w:p w14:paraId="68C2FE8F"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 xml:space="preserve">The Committee </w:t>
      </w:r>
      <w:r>
        <w:rPr>
          <w:rFonts w:ascii="Arial" w:hAnsi="Arial" w:cs="Arial"/>
          <w:sz w:val="24"/>
          <w:szCs w:val="24"/>
        </w:rPr>
        <w:t xml:space="preserve">considered and agreed the </w:t>
      </w:r>
      <w:r w:rsidRPr="006D0845">
        <w:rPr>
          <w:rFonts w:ascii="Arial" w:hAnsi="Arial" w:cs="Arial"/>
          <w:sz w:val="24"/>
          <w:szCs w:val="24"/>
        </w:rPr>
        <w:t>External Audit Strategy</w:t>
      </w:r>
      <w:r>
        <w:rPr>
          <w:rFonts w:ascii="Arial" w:hAnsi="Arial" w:cs="Arial"/>
          <w:sz w:val="24"/>
          <w:szCs w:val="24"/>
        </w:rPr>
        <w:t xml:space="preserve"> 2025-26</w:t>
      </w:r>
      <w:r w:rsidRPr="006D0845">
        <w:rPr>
          <w:rFonts w:ascii="Arial" w:hAnsi="Arial" w:cs="Arial"/>
          <w:sz w:val="24"/>
          <w:szCs w:val="24"/>
        </w:rPr>
        <w:t>, including key risks and timelines.</w:t>
      </w:r>
    </w:p>
    <w:p w14:paraId="1BAC9F79" w14:textId="77777777" w:rsidR="00FD79B7" w:rsidRPr="006D0845" w:rsidRDefault="00FD79B7" w:rsidP="00FD79B7">
      <w:pPr>
        <w:spacing w:line="360" w:lineRule="auto"/>
        <w:rPr>
          <w:rFonts w:ascii="Arial" w:hAnsi="Arial" w:cs="Arial"/>
          <w:sz w:val="24"/>
          <w:szCs w:val="24"/>
        </w:rPr>
      </w:pPr>
    </w:p>
    <w:p w14:paraId="486EB189"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7. Deep Dive Reviews and Operational Assurance</w:t>
      </w:r>
    </w:p>
    <w:p w14:paraId="599DA0AC"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A significant focus during the year was the Standards Deviations Deep Dive.</w:t>
      </w:r>
    </w:p>
    <w:p w14:paraId="0F29C067"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The Committee:</w:t>
      </w:r>
    </w:p>
    <w:p w14:paraId="4FC6E1B2" w14:textId="77777777" w:rsidR="00FD79B7" w:rsidRPr="006D0845" w:rsidRDefault="00FD79B7" w:rsidP="00FD79B7">
      <w:pPr>
        <w:numPr>
          <w:ilvl w:val="0"/>
          <w:numId w:val="7"/>
        </w:numPr>
        <w:spacing w:line="360" w:lineRule="auto"/>
        <w:rPr>
          <w:rFonts w:ascii="Arial" w:hAnsi="Arial" w:cs="Arial"/>
          <w:sz w:val="24"/>
          <w:szCs w:val="24"/>
        </w:rPr>
      </w:pPr>
      <w:r w:rsidRPr="006D0845">
        <w:rPr>
          <w:rFonts w:ascii="Arial" w:hAnsi="Arial" w:cs="Arial"/>
          <w:sz w:val="24"/>
          <w:szCs w:val="24"/>
        </w:rPr>
        <w:lastRenderedPageBreak/>
        <w:t>Oversaw the implementation of the review across operational teams</w:t>
      </w:r>
      <w:r>
        <w:rPr>
          <w:rFonts w:ascii="Arial" w:hAnsi="Arial" w:cs="Arial"/>
          <w:sz w:val="24"/>
          <w:szCs w:val="24"/>
        </w:rPr>
        <w:t xml:space="preserve"> in </w:t>
      </w:r>
      <w:r>
        <w:rPr>
          <w:rFonts w:ascii="Arial" w:hAnsi="Arial" w:cs="Arial"/>
          <w:sz w:val="24"/>
          <w:szCs w:val="24"/>
          <w:lang w:val="en-US"/>
        </w:rPr>
        <w:t xml:space="preserve">West Belfast / Lisburn, </w:t>
      </w:r>
      <w:r w:rsidRPr="00700002">
        <w:rPr>
          <w:rFonts w:ascii="Arial" w:hAnsi="Arial" w:cs="Arial"/>
          <w:sz w:val="24"/>
          <w:szCs w:val="24"/>
          <w:lang w:val="en-US"/>
        </w:rPr>
        <w:t xml:space="preserve">Mid Ulster, North West, and ISU </w:t>
      </w:r>
      <w:r>
        <w:rPr>
          <w:rFonts w:ascii="Arial" w:hAnsi="Arial" w:cs="Arial"/>
          <w:sz w:val="24"/>
          <w:szCs w:val="24"/>
          <w:lang w:val="en-US"/>
        </w:rPr>
        <w:t>North West.</w:t>
      </w:r>
    </w:p>
    <w:p w14:paraId="1BCD3EEF" w14:textId="77777777" w:rsidR="00FD79B7" w:rsidRPr="006D0845" w:rsidRDefault="00FD79B7" w:rsidP="00FD79B7">
      <w:pPr>
        <w:numPr>
          <w:ilvl w:val="0"/>
          <w:numId w:val="7"/>
        </w:numPr>
        <w:spacing w:line="360" w:lineRule="auto"/>
        <w:rPr>
          <w:rFonts w:ascii="Arial" w:hAnsi="Arial" w:cs="Arial"/>
          <w:sz w:val="24"/>
          <w:szCs w:val="24"/>
        </w:rPr>
      </w:pPr>
      <w:r w:rsidRPr="006D0845">
        <w:rPr>
          <w:rFonts w:ascii="Arial" w:hAnsi="Arial" w:cs="Arial"/>
          <w:sz w:val="24"/>
          <w:szCs w:val="24"/>
        </w:rPr>
        <w:t>Received updates on findings and progress.</w:t>
      </w:r>
    </w:p>
    <w:p w14:paraId="2BF4256D" w14:textId="77777777" w:rsidR="00FD79B7" w:rsidRPr="006D0845" w:rsidRDefault="00FD79B7" w:rsidP="00FD79B7">
      <w:pPr>
        <w:numPr>
          <w:ilvl w:val="0"/>
          <w:numId w:val="7"/>
        </w:numPr>
        <w:spacing w:line="360" w:lineRule="auto"/>
        <w:rPr>
          <w:rFonts w:ascii="Arial" w:hAnsi="Arial" w:cs="Arial"/>
          <w:sz w:val="24"/>
          <w:szCs w:val="24"/>
        </w:rPr>
      </w:pPr>
      <w:r w:rsidRPr="006D0845">
        <w:rPr>
          <w:rFonts w:ascii="Arial" w:hAnsi="Arial" w:cs="Arial"/>
          <w:sz w:val="24"/>
          <w:szCs w:val="24"/>
        </w:rPr>
        <w:t>Sought assurance on safeguarding practice, risk assessment, and case management.</w:t>
      </w:r>
    </w:p>
    <w:p w14:paraId="504C8ED4"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This work identified areas for improvement alongside strengthened monitoring and targeted interventions.</w:t>
      </w:r>
      <w:r>
        <w:rPr>
          <w:rFonts w:ascii="Arial" w:hAnsi="Arial" w:cs="Arial"/>
          <w:sz w:val="24"/>
          <w:szCs w:val="24"/>
        </w:rPr>
        <w:t xml:space="preserve"> These will be taken forward by the Policy and Practice Committee.</w:t>
      </w:r>
    </w:p>
    <w:p w14:paraId="241038C1" w14:textId="77777777" w:rsidR="00FD79B7" w:rsidRDefault="00FD79B7" w:rsidP="00FD79B7">
      <w:pPr>
        <w:spacing w:line="360" w:lineRule="auto"/>
        <w:rPr>
          <w:rFonts w:ascii="Arial" w:hAnsi="Arial" w:cs="Arial"/>
          <w:b/>
          <w:bCs/>
          <w:sz w:val="24"/>
          <w:szCs w:val="24"/>
        </w:rPr>
      </w:pPr>
    </w:p>
    <w:p w14:paraId="1D5E0082"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8. Governance, Compliance and Control</w:t>
      </w:r>
    </w:p>
    <w:p w14:paraId="3A463E23"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The Committee maintained oversight of key governance and compliance areas, including:</w:t>
      </w:r>
    </w:p>
    <w:p w14:paraId="33CAA66C" w14:textId="77777777" w:rsidR="00FD79B7" w:rsidRPr="006D0845" w:rsidRDefault="00FD79B7" w:rsidP="00FD79B7">
      <w:pPr>
        <w:numPr>
          <w:ilvl w:val="0"/>
          <w:numId w:val="8"/>
        </w:numPr>
        <w:spacing w:line="360" w:lineRule="auto"/>
        <w:rPr>
          <w:rFonts w:ascii="Arial" w:hAnsi="Arial" w:cs="Arial"/>
          <w:sz w:val="24"/>
          <w:szCs w:val="24"/>
        </w:rPr>
      </w:pPr>
      <w:r w:rsidRPr="006D0845">
        <w:rPr>
          <w:rFonts w:ascii="Arial" w:hAnsi="Arial" w:cs="Arial"/>
          <w:sz w:val="24"/>
          <w:szCs w:val="24"/>
        </w:rPr>
        <w:t>Fraud and losses</w:t>
      </w:r>
      <w:r>
        <w:rPr>
          <w:rFonts w:ascii="Arial" w:hAnsi="Arial" w:cs="Arial"/>
          <w:sz w:val="24"/>
          <w:szCs w:val="24"/>
        </w:rPr>
        <w:t xml:space="preserve"> - </w:t>
      </w:r>
      <w:r w:rsidRPr="006D0845">
        <w:rPr>
          <w:rFonts w:ascii="Arial" w:hAnsi="Arial" w:cs="Arial"/>
          <w:sz w:val="24"/>
          <w:szCs w:val="24"/>
        </w:rPr>
        <w:t>no significant issues reported.</w:t>
      </w:r>
    </w:p>
    <w:p w14:paraId="005F51AF" w14:textId="77777777" w:rsidR="00FD79B7" w:rsidRPr="00F00D7A" w:rsidRDefault="00FD79B7" w:rsidP="00FD79B7">
      <w:pPr>
        <w:pStyle w:val="ListParagraph"/>
        <w:numPr>
          <w:ilvl w:val="0"/>
          <w:numId w:val="8"/>
        </w:numPr>
        <w:spacing w:line="360" w:lineRule="auto"/>
        <w:rPr>
          <w:rFonts w:ascii="Arial" w:hAnsi="Arial" w:cs="Arial"/>
          <w:sz w:val="24"/>
          <w:szCs w:val="24"/>
        </w:rPr>
      </w:pPr>
      <w:r w:rsidRPr="00F00D7A">
        <w:rPr>
          <w:rFonts w:ascii="Arial" w:hAnsi="Arial" w:cs="Arial"/>
          <w:sz w:val="24"/>
          <w:szCs w:val="24"/>
        </w:rPr>
        <w:t>Direct Award Contracts (DAC)</w:t>
      </w:r>
      <w:r>
        <w:rPr>
          <w:rFonts w:ascii="Arial" w:hAnsi="Arial" w:cs="Arial"/>
          <w:sz w:val="24"/>
          <w:szCs w:val="24"/>
        </w:rPr>
        <w:t xml:space="preserve"> - </w:t>
      </w:r>
      <w:r w:rsidRPr="00F00D7A">
        <w:rPr>
          <w:rFonts w:ascii="Arial" w:hAnsi="Arial" w:cs="Arial"/>
          <w:sz w:val="24"/>
          <w:szCs w:val="24"/>
        </w:rPr>
        <w:t>There was one</w:t>
      </w:r>
      <w:r>
        <w:rPr>
          <w:rFonts w:ascii="Arial" w:hAnsi="Arial" w:cs="Arial"/>
          <w:sz w:val="24"/>
          <w:szCs w:val="24"/>
        </w:rPr>
        <w:t xml:space="preserve"> DAC</w:t>
      </w:r>
      <w:r w:rsidRPr="00F00D7A">
        <w:rPr>
          <w:rFonts w:ascii="Arial" w:hAnsi="Arial" w:cs="Arial"/>
          <w:sz w:val="24"/>
          <w:szCs w:val="24"/>
        </w:rPr>
        <w:t xml:space="preserve"> in relation to a training item</w:t>
      </w:r>
      <w:r>
        <w:rPr>
          <w:rFonts w:ascii="Arial" w:hAnsi="Arial" w:cs="Arial"/>
          <w:sz w:val="24"/>
          <w:szCs w:val="24"/>
        </w:rPr>
        <w:t xml:space="preserve"> - </w:t>
      </w:r>
      <w:r w:rsidRPr="00F00D7A">
        <w:rPr>
          <w:rFonts w:ascii="Arial" w:hAnsi="Arial" w:cs="Arial"/>
          <w:sz w:val="24"/>
          <w:szCs w:val="24"/>
        </w:rPr>
        <w:t xml:space="preserve"> </w:t>
      </w:r>
      <w:r>
        <w:rPr>
          <w:rFonts w:ascii="Arial" w:hAnsi="Arial" w:cs="Arial"/>
          <w:sz w:val="24"/>
          <w:szCs w:val="24"/>
        </w:rPr>
        <w:t xml:space="preserve">£13k for </w:t>
      </w:r>
      <w:r w:rsidRPr="00F00D7A">
        <w:rPr>
          <w:rFonts w:ascii="Arial" w:hAnsi="Arial" w:cs="Arial"/>
          <w:sz w:val="24"/>
          <w:szCs w:val="24"/>
        </w:rPr>
        <w:t xml:space="preserve">Ulster University. </w:t>
      </w:r>
    </w:p>
    <w:p w14:paraId="63CD4EE2" w14:textId="77777777" w:rsidR="00FD79B7" w:rsidRPr="006D0845" w:rsidRDefault="00FD79B7" w:rsidP="00FD79B7">
      <w:pPr>
        <w:numPr>
          <w:ilvl w:val="0"/>
          <w:numId w:val="8"/>
        </w:numPr>
        <w:spacing w:line="360" w:lineRule="auto"/>
        <w:rPr>
          <w:rFonts w:ascii="Arial" w:hAnsi="Arial" w:cs="Arial"/>
          <w:sz w:val="24"/>
          <w:szCs w:val="24"/>
        </w:rPr>
      </w:pPr>
      <w:r w:rsidRPr="006D0845">
        <w:rPr>
          <w:rFonts w:ascii="Arial" w:hAnsi="Arial" w:cs="Arial"/>
          <w:sz w:val="24"/>
          <w:szCs w:val="24"/>
        </w:rPr>
        <w:t>Whistleblowing, complaints and data incidents</w:t>
      </w:r>
      <w:r>
        <w:rPr>
          <w:rFonts w:ascii="Arial" w:hAnsi="Arial" w:cs="Arial"/>
          <w:sz w:val="24"/>
          <w:szCs w:val="24"/>
        </w:rPr>
        <w:t xml:space="preserve"> - </w:t>
      </w:r>
      <w:r w:rsidRPr="006D0845">
        <w:rPr>
          <w:rFonts w:ascii="Arial" w:hAnsi="Arial" w:cs="Arial"/>
          <w:sz w:val="24"/>
          <w:szCs w:val="24"/>
        </w:rPr>
        <w:t>regularly monitored.</w:t>
      </w:r>
    </w:p>
    <w:p w14:paraId="565829AA" w14:textId="77777777" w:rsidR="00FD79B7" w:rsidRPr="006D0845" w:rsidRDefault="00FD79B7" w:rsidP="00FD79B7">
      <w:pPr>
        <w:numPr>
          <w:ilvl w:val="0"/>
          <w:numId w:val="8"/>
        </w:numPr>
        <w:spacing w:line="360" w:lineRule="auto"/>
        <w:rPr>
          <w:rFonts w:ascii="Arial" w:hAnsi="Arial" w:cs="Arial"/>
          <w:sz w:val="24"/>
          <w:szCs w:val="24"/>
        </w:rPr>
      </w:pPr>
      <w:r w:rsidRPr="006D0845">
        <w:rPr>
          <w:rFonts w:ascii="Arial" w:hAnsi="Arial" w:cs="Arial"/>
          <w:sz w:val="24"/>
          <w:szCs w:val="24"/>
        </w:rPr>
        <w:t>Department of Finance guidance and compliance requirements.</w:t>
      </w:r>
    </w:p>
    <w:p w14:paraId="0F4346C3"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 xml:space="preserve">Updates were also considered in relation to data governance, </w:t>
      </w:r>
      <w:r>
        <w:rPr>
          <w:rFonts w:ascii="Arial" w:hAnsi="Arial" w:cs="Arial"/>
          <w:sz w:val="24"/>
          <w:szCs w:val="24"/>
        </w:rPr>
        <w:t xml:space="preserve">the high level of sickness absence </w:t>
      </w:r>
      <w:r w:rsidRPr="006D0845">
        <w:rPr>
          <w:rFonts w:ascii="Arial" w:hAnsi="Arial" w:cs="Arial"/>
          <w:sz w:val="24"/>
          <w:szCs w:val="24"/>
        </w:rPr>
        <w:t>and occupational health provision.</w:t>
      </w:r>
    </w:p>
    <w:p w14:paraId="22FE5ED0" w14:textId="77777777" w:rsidR="00FD79B7" w:rsidRDefault="00FD79B7" w:rsidP="00FD79B7">
      <w:pPr>
        <w:spacing w:line="360" w:lineRule="auto"/>
        <w:rPr>
          <w:rFonts w:ascii="Arial" w:hAnsi="Arial" w:cs="Arial"/>
          <w:b/>
          <w:bCs/>
          <w:sz w:val="24"/>
          <w:szCs w:val="24"/>
        </w:rPr>
      </w:pPr>
    </w:p>
    <w:p w14:paraId="13881F57" w14:textId="77777777" w:rsidR="00FD79B7" w:rsidRPr="006D0845" w:rsidRDefault="00FD79B7" w:rsidP="00FD79B7">
      <w:pPr>
        <w:spacing w:line="360" w:lineRule="auto"/>
        <w:rPr>
          <w:rFonts w:ascii="Arial" w:hAnsi="Arial" w:cs="Arial"/>
          <w:b/>
          <w:bCs/>
          <w:sz w:val="24"/>
          <w:szCs w:val="24"/>
        </w:rPr>
      </w:pPr>
      <w:r w:rsidRPr="006D0845">
        <w:rPr>
          <w:rFonts w:ascii="Arial" w:hAnsi="Arial" w:cs="Arial"/>
          <w:b/>
          <w:bCs/>
          <w:sz w:val="24"/>
          <w:szCs w:val="24"/>
        </w:rPr>
        <w:t>10. Conclusion</w:t>
      </w:r>
    </w:p>
    <w:p w14:paraId="682714E9" w14:textId="77777777" w:rsidR="00FD79B7" w:rsidRPr="006D0845" w:rsidRDefault="00FD79B7" w:rsidP="00FD79B7">
      <w:pPr>
        <w:spacing w:line="360" w:lineRule="auto"/>
        <w:rPr>
          <w:rFonts w:ascii="Arial" w:hAnsi="Arial" w:cs="Arial"/>
          <w:sz w:val="24"/>
          <w:szCs w:val="24"/>
        </w:rPr>
      </w:pPr>
      <w:r w:rsidRPr="006D0845">
        <w:rPr>
          <w:rFonts w:ascii="Arial" w:hAnsi="Arial" w:cs="Arial"/>
          <w:sz w:val="24"/>
          <w:szCs w:val="24"/>
        </w:rPr>
        <w:t>The Audit and Risk Assurance Committee is satisfied that it has effectively discharged its responsibilities during 2025</w:t>
      </w:r>
      <w:r>
        <w:rPr>
          <w:rFonts w:ascii="Arial" w:hAnsi="Arial" w:cs="Arial"/>
          <w:sz w:val="24"/>
          <w:szCs w:val="24"/>
        </w:rPr>
        <w:t xml:space="preserve"> - </w:t>
      </w:r>
      <w:r w:rsidRPr="006D0845">
        <w:rPr>
          <w:rFonts w:ascii="Arial" w:hAnsi="Arial" w:cs="Arial"/>
          <w:sz w:val="24"/>
          <w:szCs w:val="24"/>
        </w:rPr>
        <w:t>26 and has provided robust assurance to the Board and Accounting Officer.</w:t>
      </w:r>
    </w:p>
    <w:p w14:paraId="3E5A1359" w14:textId="77777777" w:rsidR="00FD79B7" w:rsidRDefault="00FD79B7" w:rsidP="00FD79B7">
      <w:pPr>
        <w:spacing w:line="360" w:lineRule="auto"/>
      </w:pPr>
      <w:r w:rsidRPr="006D0845">
        <w:rPr>
          <w:rFonts w:ascii="Arial" w:hAnsi="Arial" w:cs="Arial"/>
          <w:sz w:val="24"/>
          <w:szCs w:val="24"/>
        </w:rPr>
        <w:t>The Committee will continue to focus on strengthening governance, assurance and risk management arrangements in the year ahead.</w:t>
      </w:r>
    </w:p>
    <w:p w14:paraId="07ABE911" w14:textId="5256AB73" w:rsidR="009E7DF5" w:rsidRPr="00FD79B7" w:rsidRDefault="009E7DF5" w:rsidP="00FD79B7"/>
    <w:sectPr w:rsidR="009E7DF5" w:rsidRPr="00FD79B7" w:rsidSect="00B74ABF">
      <w:footerReference w:type="default" r:id="rId8"/>
      <w:pgSz w:w="11906" w:h="16838"/>
      <w:pgMar w:top="993"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0AEE" w14:textId="77777777" w:rsidR="003B7715" w:rsidRDefault="003B7715" w:rsidP="000506C9">
      <w:pPr>
        <w:spacing w:after="0" w:line="240" w:lineRule="auto"/>
      </w:pPr>
      <w:r>
        <w:separator/>
      </w:r>
    </w:p>
  </w:endnote>
  <w:endnote w:type="continuationSeparator" w:id="0">
    <w:p w14:paraId="67CDF1A9" w14:textId="77777777" w:rsidR="003B7715" w:rsidRDefault="003B7715" w:rsidP="0005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733622"/>
      <w:docPartObj>
        <w:docPartGallery w:val="Page Numbers (Bottom of Page)"/>
        <w:docPartUnique/>
      </w:docPartObj>
    </w:sdtPr>
    <w:sdtEndPr>
      <w:rPr>
        <w:noProof/>
      </w:rPr>
    </w:sdtEndPr>
    <w:sdtContent>
      <w:p w14:paraId="1B9943E8" w14:textId="4013AD06" w:rsidR="00926C8F" w:rsidRDefault="00926C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BE0FC5" w14:textId="77777777" w:rsidR="00926C8F" w:rsidRDefault="00926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45BC2" w14:textId="77777777" w:rsidR="003B7715" w:rsidRDefault="003B7715" w:rsidP="000506C9">
      <w:pPr>
        <w:spacing w:after="0" w:line="240" w:lineRule="auto"/>
      </w:pPr>
      <w:r>
        <w:separator/>
      </w:r>
    </w:p>
  </w:footnote>
  <w:footnote w:type="continuationSeparator" w:id="0">
    <w:p w14:paraId="6DB2622C" w14:textId="77777777" w:rsidR="003B7715" w:rsidRDefault="003B7715" w:rsidP="00050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18D"/>
    <w:multiLevelType w:val="multilevel"/>
    <w:tmpl w:val="34F2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F0CD4"/>
    <w:multiLevelType w:val="hybridMultilevel"/>
    <w:tmpl w:val="A2E8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D7246"/>
    <w:multiLevelType w:val="multilevel"/>
    <w:tmpl w:val="EAF8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52377"/>
    <w:multiLevelType w:val="multilevel"/>
    <w:tmpl w:val="A994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355A"/>
    <w:multiLevelType w:val="multilevel"/>
    <w:tmpl w:val="DB4E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D7A0F"/>
    <w:multiLevelType w:val="multilevel"/>
    <w:tmpl w:val="DD5A5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421E8"/>
    <w:multiLevelType w:val="multilevel"/>
    <w:tmpl w:val="EAF8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6508A"/>
    <w:multiLevelType w:val="multilevel"/>
    <w:tmpl w:val="F79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F1CA7"/>
    <w:multiLevelType w:val="multilevel"/>
    <w:tmpl w:val="B778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F0C2D"/>
    <w:multiLevelType w:val="multilevel"/>
    <w:tmpl w:val="C10A2B02"/>
    <w:lvl w:ilvl="0">
      <w:start w:val="5"/>
      <w:numFmt w:val="decimal"/>
      <w:lvlText w:val="%1."/>
      <w:lvlJc w:val="left"/>
      <w:pPr>
        <w:ind w:left="2160" w:hanging="360"/>
      </w:pPr>
      <w:rPr>
        <w:rFonts w:hint="default"/>
      </w:rPr>
    </w:lvl>
    <w:lvl w:ilvl="1">
      <w:start w:val="1"/>
      <w:numFmt w:val="decimal"/>
      <w:isLgl/>
      <w:lvlText w:val="%1.%2"/>
      <w:lvlJc w:val="left"/>
      <w:pPr>
        <w:ind w:left="2330" w:hanging="53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4D4478F2"/>
    <w:multiLevelType w:val="multilevel"/>
    <w:tmpl w:val="7ABC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17ED3"/>
    <w:multiLevelType w:val="multilevel"/>
    <w:tmpl w:val="531E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443152">
    <w:abstractNumId w:val="10"/>
  </w:num>
  <w:num w:numId="2" w16cid:durableId="746154701">
    <w:abstractNumId w:val="7"/>
  </w:num>
  <w:num w:numId="3" w16cid:durableId="250746995">
    <w:abstractNumId w:val="3"/>
  </w:num>
  <w:num w:numId="4" w16cid:durableId="1993484094">
    <w:abstractNumId w:val="4"/>
  </w:num>
  <w:num w:numId="5" w16cid:durableId="1922835947">
    <w:abstractNumId w:val="5"/>
  </w:num>
  <w:num w:numId="6" w16cid:durableId="745301700">
    <w:abstractNumId w:val="11"/>
  </w:num>
  <w:num w:numId="7" w16cid:durableId="385221231">
    <w:abstractNumId w:val="8"/>
  </w:num>
  <w:num w:numId="8" w16cid:durableId="179055502">
    <w:abstractNumId w:val="0"/>
  </w:num>
  <w:num w:numId="9" w16cid:durableId="606935724">
    <w:abstractNumId w:val="6"/>
  </w:num>
  <w:num w:numId="10" w16cid:durableId="1107895374">
    <w:abstractNumId w:val="9"/>
  </w:num>
  <w:num w:numId="11" w16cid:durableId="1884901861">
    <w:abstractNumId w:val="2"/>
  </w:num>
  <w:num w:numId="12" w16cid:durableId="164981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45"/>
    <w:rsid w:val="000257CF"/>
    <w:rsid w:val="000506C9"/>
    <w:rsid w:val="0008081A"/>
    <w:rsid w:val="000B71B4"/>
    <w:rsid w:val="000D6D5F"/>
    <w:rsid w:val="0017519B"/>
    <w:rsid w:val="001D379E"/>
    <w:rsid w:val="00211005"/>
    <w:rsid w:val="00280224"/>
    <w:rsid w:val="002F3D00"/>
    <w:rsid w:val="00334566"/>
    <w:rsid w:val="00343AC6"/>
    <w:rsid w:val="0034732F"/>
    <w:rsid w:val="00353A66"/>
    <w:rsid w:val="003568F3"/>
    <w:rsid w:val="003B7715"/>
    <w:rsid w:val="00425AFA"/>
    <w:rsid w:val="0046715F"/>
    <w:rsid w:val="0054640E"/>
    <w:rsid w:val="005C1467"/>
    <w:rsid w:val="005E1318"/>
    <w:rsid w:val="00641891"/>
    <w:rsid w:val="006D0845"/>
    <w:rsid w:val="007378CF"/>
    <w:rsid w:val="007400F3"/>
    <w:rsid w:val="007568D4"/>
    <w:rsid w:val="007A7A61"/>
    <w:rsid w:val="007A7A9C"/>
    <w:rsid w:val="007B0C70"/>
    <w:rsid w:val="007D007F"/>
    <w:rsid w:val="007F5823"/>
    <w:rsid w:val="0084206D"/>
    <w:rsid w:val="008528A7"/>
    <w:rsid w:val="00864623"/>
    <w:rsid w:val="008B496F"/>
    <w:rsid w:val="008E31BC"/>
    <w:rsid w:val="00926C8F"/>
    <w:rsid w:val="009E7DF5"/>
    <w:rsid w:val="00AC09A3"/>
    <w:rsid w:val="00B74ABF"/>
    <w:rsid w:val="00BB3C61"/>
    <w:rsid w:val="00BC33A2"/>
    <w:rsid w:val="00BC68A7"/>
    <w:rsid w:val="00BE1285"/>
    <w:rsid w:val="00BF64A6"/>
    <w:rsid w:val="00C85835"/>
    <w:rsid w:val="00CE7FFC"/>
    <w:rsid w:val="00DD0B59"/>
    <w:rsid w:val="00E10166"/>
    <w:rsid w:val="00E9351F"/>
    <w:rsid w:val="00E94DB8"/>
    <w:rsid w:val="00F00D7A"/>
    <w:rsid w:val="00F171DD"/>
    <w:rsid w:val="00F2570D"/>
    <w:rsid w:val="00FC2FB4"/>
    <w:rsid w:val="00FC4CAA"/>
    <w:rsid w:val="00FD79B7"/>
    <w:rsid w:val="00FF0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1F8B"/>
  <w15:chartTrackingRefBased/>
  <w15:docId w15:val="{46D4C8FC-DA88-429B-8745-47FC0FE3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9B7"/>
    <w:rPr>
      <w:kern w:val="0"/>
      <w14:ligatures w14:val="none"/>
    </w:rPr>
  </w:style>
  <w:style w:type="paragraph" w:styleId="Heading1">
    <w:name w:val="heading 1"/>
    <w:basedOn w:val="Normal"/>
    <w:next w:val="Normal"/>
    <w:link w:val="Heading1Char"/>
    <w:uiPriority w:val="9"/>
    <w:qFormat/>
    <w:rsid w:val="006D084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D084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D084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D084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D084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D084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D084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D084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D084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845"/>
    <w:rPr>
      <w:rFonts w:eastAsiaTheme="majorEastAsia" w:cstheme="majorBidi"/>
      <w:color w:val="272727" w:themeColor="text1" w:themeTint="D8"/>
    </w:rPr>
  </w:style>
  <w:style w:type="paragraph" w:styleId="Title">
    <w:name w:val="Title"/>
    <w:basedOn w:val="Normal"/>
    <w:next w:val="Normal"/>
    <w:link w:val="TitleChar"/>
    <w:uiPriority w:val="10"/>
    <w:qFormat/>
    <w:rsid w:val="006D084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D0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84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D0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84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D0845"/>
    <w:rPr>
      <w:i/>
      <w:iCs/>
      <w:color w:val="404040" w:themeColor="text1" w:themeTint="BF"/>
    </w:rPr>
  </w:style>
  <w:style w:type="paragraph" w:styleId="ListParagraph">
    <w:name w:val="List Paragraph"/>
    <w:basedOn w:val="Normal"/>
    <w:uiPriority w:val="1"/>
    <w:qFormat/>
    <w:rsid w:val="006D0845"/>
    <w:pPr>
      <w:ind w:left="720"/>
      <w:contextualSpacing/>
    </w:pPr>
    <w:rPr>
      <w:kern w:val="2"/>
      <w14:ligatures w14:val="standardContextual"/>
    </w:rPr>
  </w:style>
  <w:style w:type="character" w:styleId="IntenseEmphasis">
    <w:name w:val="Intense Emphasis"/>
    <w:basedOn w:val="DefaultParagraphFont"/>
    <w:uiPriority w:val="21"/>
    <w:qFormat/>
    <w:rsid w:val="006D0845"/>
    <w:rPr>
      <w:i/>
      <w:iCs/>
      <w:color w:val="0F4761" w:themeColor="accent1" w:themeShade="BF"/>
    </w:rPr>
  </w:style>
  <w:style w:type="paragraph" w:styleId="IntenseQuote">
    <w:name w:val="Intense Quote"/>
    <w:basedOn w:val="Normal"/>
    <w:next w:val="Normal"/>
    <w:link w:val="IntenseQuoteChar"/>
    <w:uiPriority w:val="30"/>
    <w:qFormat/>
    <w:rsid w:val="006D0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D0845"/>
    <w:rPr>
      <w:i/>
      <w:iCs/>
      <w:color w:val="0F4761" w:themeColor="accent1" w:themeShade="BF"/>
    </w:rPr>
  </w:style>
  <w:style w:type="character" w:styleId="IntenseReference">
    <w:name w:val="Intense Reference"/>
    <w:basedOn w:val="DefaultParagraphFont"/>
    <w:uiPriority w:val="32"/>
    <w:qFormat/>
    <w:rsid w:val="006D0845"/>
    <w:rPr>
      <w:b/>
      <w:bCs/>
      <w:smallCaps/>
      <w:color w:val="0F4761" w:themeColor="accent1" w:themeShade="BF"/>
      <w:spacing w:val="5"/>
    </w:rPr>
  </w:style>
  <w:style w:type="character" w:styleId="CommentReference">
    <w:name w:val="annotation reference"/>
    <w:basedOn w:val="DefaultParagraphFont"/>
    <w:uiPriority w:val="99"/>
    <w:semiHidden/>
    <w:unhideWhenUsed/>
    <w:rsid w:val="005C1467"/>
    <w:rPr>
      <w:sz w:val="16"/>
      <w:szCs w:val="16"/>
    </w:rPr>
  </w:style>
  <w:style w:type="paragraph" w:styleId="CommentText">
    <w:name w:val="annotation text"/>
    <w:basedOn w:val="Normal"/>
    <w:link w:val="CommentTextChar"/>
    <w:uiPriority w:val="99"/>
    <w:unhideWhenUsed/>
    <w:rsid w:val="005C1467"/>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5C1467"/>
    <w:rPr>
      <w:sz w:val="20"/>
      <w:szCs w:val="20"/>
    </w:rPr>
  </w:style>
  <w:style w:type="paragraph" w:styleId="CommentSubject">
    <w:name w:val="annotation subject"/>
    <w:basedOn w:val="CommentText"/>
    <w:next w:val="CommentText"/>
    <w:link w:val="CommentSubjectChar"/>
    <w:uiPriority w:val="99"/>
    <w:semiHidden/>
    <w:unhideWhenUsed/>
    <w:rsid w:val="005C1467"/>
    <w:rPr>
      <w:b/>
      <w:bCs/>
    </w:rPr>
  </w:style>
  <w:style w:type="character" w:customStyle="1" w:styleId="CommentSubjectChar">
    <w:name w:val="Comment Subject Char"/>
    <w:basedOn w:val="CommentTextChar"/>
    <w:link w:val="CommentSubject"/>
    <w:uiPriority w:val="99"/>
    <w:semiHidden/>
    <w:rsid w:val="005C1467"/>
    <w:rPr>
      <w:b/>
      <w:bCs/>
      <w:sz w:val="20"/>
      <w:szCs w:val="20"/>
    </w:rPr>
  </w:style>
  <w:style w:type="paragraph" w:styleId="Header">
    <w:name w:val="header"/>
    <w:basedOn w:val="Normal"/>
    <w:link w:val="HeaderChar"/>
    <w:uiPriority w:val="99"/>
    <w:unhideWhenUsed/>
    <w:rsid w:val="00050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6C9"/>
    <w:rPr>
      <w:kern w:val="0"/>
      <w14:ligatures w14:val="none"/>
    </w:rPr>
  </w:style>
  <w:style w:type="paragraph" w:styleId="Footer">
    <w:name w:val="footer"/>
    <w:basedOn w:val="Normal"/>
    <w:link w:val="FooterChar"/>
    <w:uiPriority w:val="99"/>
    <w:unhideWhenUsed/>
    <w:rsid w:val="00050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6C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1027</Words>
  <Characters>5870</Characters>
  <Application>Microsoft Office Word</Application>
  <DocSecurity>0</DocSecurity>
  <Lines>139</Lines>
  <Paragraphs>63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Fitzsimons, Joanne</dc:creator>
  <cp:keywords/>
  <dc:description/>
  <cp:lastModifiedBy>Liggett, Paul</cp:lastModifiedBy>
  <cp:revision>2</cp:revision>
  <cp:lastPrinted>2026-06-02T08:58:00Z</cp:lastPrinted>
  <dcterms:created xsi:type="dcterms:W3CDTF">2026-09-03T11:15:00Z</dcterms:created>
  <dcterms:modified xsi:type="dcterms:W3CDTF">2026-09-03T11:15:00Z</dcterms:modified>
</cp:coreProperties>
</file>